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1919351775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124C5C" w:rsidRPr="00952E0F" w:rsidRDefault="00124C5C" w:rsidP="009C79ED">
          <w:pPr>
            <w:pStyle w:val="Bezmezer"/>
            <w:rPr>
              <w:rFonts w:eastAsiaTheme="minorHAnsi"/>
              <w:b/>
            </w:rPr>
          </w:pPr>
          <w:r w:rsidRPr="00952E0F">
            <w:rPr>
              <w:rFonts w:eastAsiaTheme="minorHAnsi"/>
              <w:b/>
            </w:rPr>
            <w:t xml:space="preserve">Důvodová zpráva </w:t>
          </w:r>
        </w:p>
        <w:p w:rsidR="00124C5C" w:rsidRPr="009C79ED" w:rsidRDefault="00124C5C" w:rsidP="009C79ED">
          <w:pPr>
            <w:pStyle w:val="Bezmezer"/>
          </w:pPr>
        </w:p>
        <w:p w:rsidR="00340E11" w:rsidRPr="00952E0F" w:rsidRDefault="00340E11" w:rsidP="009C79ED">
          <w:pPr>
            <w:pStyle w:val="Bezmezer"/>
            <w:rPr>
              <w:b/>
            </w:rPr>
          </w:pPr>
          <w:r w:rsidRPr="00952E0F">
            <w:rPr>
              <w:b/>
            </w:rPr>
            <w:t>Obsah</w:t>
          </w:r>
          <w:r w:rsidR="00952E0F">
            <w:rPr>
              <w:b/>
            </w:rPr>
            <w:t>:</w:t>
          </w:r>
        </w:p>
        <w:p w:rsidR="009C79ED" w:rsidRPr="009C79ED" w:rsidRDefault="009C79ED" w:rsidP="009C79ED">
          <w:pPr>
            <w:pStyle w:val="Bezmezer"/>
            <w:rPr>
              <w:sz w:val="20"/>
              <w:szCs w:val="20"/>
            </w:rPr>
          </w:pPr>
          <w:r w:rsidRPr="009C79ED">
            <w:rPr>
              <w:sz w:val="20"/>
              <w:szCs w:val="20"/>
            </w:rPr>
            <w:t>1.</w:t>
          </w:r>
        </w:p>
        <w:p w:rsidR="00B748F4" w:rsidRPr="009C79ED" w:rsidRDefault="00340E11" w:rsidP="009C79ED">
          <w:pPr>
            <w:pStyle w:val="Bezmezer"/>
            <w:rPr>
              <w:noProof/>
              <w:sz w:val="20"/>
              <w:szCs w:val="20"/>
            </w:rPr>
          </w:pPr>
          <w:r w:rsidRPr="009C79ED">
            <w:rPr>
              <w:sz w:val="20"/>
              <w:szCs w:val="20"/>
            </w:rPr>
            <w:fldChar w:fldCharType="begin"/>
          </w:r>
          <w:r w:rsidRPr="009C79ED">
            <w:rPr>
              <w:sz w:val="20"/>
              <w:szCs w:val="20"/>
            </w:rPr>
            <w:instrText xml:space="preserve"> TOC \o "1-3" \h \z \u </w:instrText>
          </w:r>
          <w:r w:rsidRPr="009C79ED">
            <w:rPr>
              <w:sz w:val="20"/>
              <w:szCs w:val="20"/>
            </w:rPr>
            <w:fldChar w:fldCharType="separate"/>
          </w:r>
          <w:hyperlink w:anchor="_Toc14270568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1.1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Vztah projektu k rozvojovým a plánovacím dokumentům města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69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1.2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Umístění pracovišť městského úřadu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0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1.3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Stručná charakteristika již provedených stavebních úprav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1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1.4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Projektový záměr a připravenost stavební dokumentace projektu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2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2.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Stručná stavebně technická charakteristika projektu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3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2.1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Projektová dokumentace a stavební povolení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4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2.2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Projektově připravené, doposud nerealizované úpravy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5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3.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Vztah projektu k dotačním možnostem a k ostatním připravovaných akcím města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6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3.1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Dotace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7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3.2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Ostatní významné rozvojové projekty města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8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4.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Varianty a možnosti dalšího postupu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79" w:history="1">
            <w:r w:rsidR="00B748F4" w:rsidRPr="009C79ED">
              <w:rPr>
                <w:rStyle w:val="Hypertextovodkaz"/>
                <w:rFonts w:cstheme="minorHAnsi"/>
                <w:noProof/>
                <w:color w:val="auto"/>
                <w:sz w:val="20"/>
                <w:szCs w:val="20"/>
              </w:rPr>
              <w:t>VARIANTA 1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80" w:history="1">
            <w:r w:rsidR="00B748F4" w:rsidRPr="009C79ED">
              <w:rPr>
                <w:rStyle w:val="Hypertextovodkaz"/>
                <w:rFonts w:cstheme="minorHAnsi"/>
                <w:noProof/>
                <w:color w:val="auto"/>
                <w:sz w:val="20"/>
                <w:szCs w:val="20"/>
              </w:rPr>
              <w:t>VARIANTA 2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81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5.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Doporučení dalšího postupu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952E0F" w:rsidRDefault="001443FC" w:rsidP="009C79ED">
          <w:pPr>
            <w:pStyle w:val="Bezmezer"/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</w:pPr>
          <w:r w:rsidRPr="009C79ED">
            <w:rPr>
              <w:rStyle w:val="Hypertextovodkaz"/>
              <w:rFonts w:eastAsia="Times New Roman" w:cstheme="minorHAnsi"/>
              <w:color w:val="auto"/>
            </w:rPr>
            <w:fldChar w:fldCharType="begin"/>
          </w:r>
          <w:r w:rsidRPr="009C79ED"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instrText xml:space="preserve"> HYPERLINK \l "_Toc14270582" </w:instrText>
          </w:r>
          <w:r w:rsidRPr="009C79ED">
            <w:rPr>
              <w:rStyle w:val="Hypertextovodkaz"/>
              <w:rFonts w:eastAsia="Times New Roman" w:cstheme="minorHAnsi"/>
              <w:color w:val="auto"/>
            </w:rPr>
            <w:fldChar w:fldCharType="separate"/>
          </w:r>
          <w:r w:rsidR="00B748F4" w:rsidRPr="009C79ED"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t>6.</w:t>
          </w:r>
          <w:r w:rsidR="00B748F4" w:rsidRPr="009C79ED">
            <w:rPr>
              <w:noProof/>
              <w:sz w:val="20"/>
              <w:szCs w:val="20"/>
            </w:rPr>
            <w:tab/>
          </w:r>
          <w:r w:rsidR="00B748F4" w:rsidRPr="009C79ED"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t xml:space="preserve">Problematika zabezpečení podmínek pro plynulý chod městského úřadu po dobu realizace stavebních </w:t>
          </w:r>
          <w:r w:rsidR="00952E0F"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t xml:space="preserve"> </w:t>
          </w:r>
        </w:p>
        <w:p w:rsidR="00B748F4" w:rsidRPr="009C79ED" w:rsidRDefault="00952E0F" w:rsidP="009C79ED">
          <w:pPr>
            <w:pStyle w:val="Bezmezer"/>
            <w:rPr>
              <w:noProof/>
              <w:sz w:val="20"/>
              <w:szCs w:val="20"/>
            </w:rPr>
          </w:pPr>
          <w:r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t xml:space="preserve">                </w:t>
          </w:r>
          <w:r w:rsidR="00B748F4" w:rsidRPr="009C79ED">
            <w:rPr>
              <w:rStyle w:val="Hypertextovodkaz"/>
              <w:rFonts w:eastAsia="Times New Roman" w:cstheme="minorHAnsi"/>
              <w:noProof/>
              <w:color w:val="auto"/>
              <w:sz w:val="20"/>
              <w:szCs w:val="20"/>
            </w:rPr>
            <w:t>úprav – náhradní umístění pracovníků</w:t>
          </w:r>
          <w:r w:rsidR="00B748F4" w:rsidRPr="009C79ED">
            <w:rPr>
              <w:noProof/>
              <w:webHidden/>
              <w:sz w:val="20"/>
              <w:szCs w:val="20"/>
            </w:rPr>
            <w:tab/>
          </w:r>
          <w:r w:rsidR="001443FC" w:rsidRPr="009C79ED">
            <w:rPr>
              <w:noProof/>
              <w:sz w:val="20"/>
              <w:szCs w:val="20"/>
            </w:rPr>
            <w:fldChar w:fldCharType="end"/>
          </w:r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83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7.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Technicko – organizační a finanční předpoklady a požadavky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84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7.1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Přehled předpokládaných (rozpočtových) nákladů projektu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B748F4" w:rsidRPr="009C79ED" w:rsidRDefault="000B0AC2" w:rsidP="009C79ED">
          <w:pPr>
            <w:pStyle w:val="Bezmezer"/>
            <w:rPr>
              <w:noProof/>
              <w:sz w:val="20"/>
              <w:szCs w:val="20"/>
            </w:rPr>
          </w:pPr>
          <w:hyperlink w:anchor="_Toc14270585" w:history="1"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7.2</w:t>
            </w:r>
            <w:r w:rsidR="00B748F4" w:rsidRPr="009C79ED">
              <w:rPr>
                <w:noProof/>
                <w:sz w:val="20"/>
                <w:szCs w:val="20"/>
              </w:rPr>
              <w:tab/>
            </w:r>
            <w:r w:rsidR="00B748F4" w:rsidRPr="009C79ED">
              <w:rPr>
                <w:rStyle w:val="Hypertextovodkaz"/>
                <w:rFonts w:eastAsia="Times New Roman" w:cstheme="minorHAnsi"/>
                <w:noProof/>
                <w:color w:val="auto"/>
                <w:sz w:val="20"/>
                <w:szCs w:val="20"/>
              </w:rPr>
              <w:t>Rámcový harmonogram postupu</w:t>
            </w:r>
            <w:r w:rsidR="00B748F4" w:rsidRPr="009C79ED">
              <w:rPr>
                <w:noProof/>
                <w:webHidden/>
                <w:sz w:val="20"/>
                <w:szCs w:val="20"/>
              </w:rPr>
              <w:tab/>
            </w:r>
          </w:hyperlink>
        </w:p>
        <w:p w:rsidR="00340E11" w:rsidRPr="009C79ED" w:rsidRDefault="00340E11" w:rsidP="009C79ED">
          <w:pPr>
            <w:pStyle w:val="Bezmezer"/>
          </w:pPr>
          <w:r w:rsidRPr="009C79ED">
            <w:rPr>
              <w:sz w:val="20"/>
              <w:szCs w:val="20"/>
            </w:rPr>
            <w:fldChar w:fldCharType="end"/>
          </w:r>
        </w:p>
      </w:sdtContent>
    </w:sdt>
    <w:p w:rsidR="00A64586" w:rsidRDefault="00BF64E8" w:rsidP="009C79E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F6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40E11">
        <w:rPr>
          <w:rFonts w:cstheme="minorHAnsi"/>
          <w:b/>
          <w:bCs/>
          <w:sz w:val="24"/>
          <w:szCs w:val="24"/>
          <w:lang w:eastAsia="cs-CZ"/>
        </w:rPr>
        <w:t>Úvod a základní popis situace</w:t>
      </w:r>
    </w:p>
    <w:p w:rsidR="00A64586" w:rsidRPr="00A64586" w:rsidRDefault="00A64586" w:rsidP="00A51760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0" w:name="_Toc14270568"/>
      <w:r w:rsidRPr="00A6458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Vztah projektu k rozvojovým a plánovacím dokumentům města</w:t>
      </w:r>
      <w:bookmarkEnd w:id="0"/>
    </w:p>
    <w:p w:rsidR="00952E0F" w:rsidRDefault="00A64586" w:rsidP="00A64586">
      <w:pPr>
        <w:jc w:val="both"/>
        <w:rPr>
          <w:lang w:eastAsia="cs-CZ"/>
        </w:rPr>
      </w:pPr>
      <w:r w:rsidRPr="00A64586">
        <w:rPr>
          <w:lang w:eastAsia="cs-CZ"/>
        </w:rPr>
        <w:t xml:space="preserve">Záměr rekonstrukce a úprav radnice je v souladu </w:t>
      </w:r>
    </w:p>
    <w:p w:rsidR="00952E0F" w:rsidRDefault="00182427" w:rsidP="00952E0F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>
        <w:rPr>
          <w:lang w:eastAsia="cs-CZ"/>
        </w:rPr>
        <w:t>s</w:t>
      </w:r>
      <w:r w:rsidR="00952E0F">
        <w:rPr>
          <w:lang w:eastAsia="cs-CZ"/>
        </w:rPr>
        <w:t xml:space="preserve">e Strategickým plánem </w:t>
      </w:r>
      <w:r>
        <w:rPr>
          <w:lang w:eastAsia="cs-CZ"/>
        </w:rPr>
        <w:t xml:space="preserve">rozvoje </w:t>
      </w:r>
      <w:r w:rsidR="00952E0F">
        <w:rPr>
          <w:lang w:eastAsia="cs-CZ"/>
        </w:rPr>
        <w:t xml:space="preserve">města </w:t>
      </w:r>
      <w:proofErr w:type="spellStart"/>
      <w:r w:rsidR="00952E0F">
        <w:rPr>
          <w:lang w:eastAsia="cs-CZ"/>
        </w:rPr>
        <w:t>Příbora</w:t>
      </w:r>
      <w:proofErr w:type="spellEnd"/>
      <w:r>
        <w:rPr>
          <w:lang w:eastAsia="cs-CZ"/>
        </w:rPr>
        <w:t xml:space="preserve"> schváleným ZM dne 2.2.2017 usnesením č. 20/7/1/1</w:t>
      </w:r>
    </w:p>
    <w:p w:rsidR="00182427" w:rsidRDefault="00182427" w:rsidP="00182427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>
        <w:rPr>
          <w:lang w:eastAsia="cs-CZ"/>
        </w:rPr>
        <w:t>s průběžně doplňovaným</w:t>
      </w:r>
      <w:r w:rsidRPr="00A64586">
        <w:rPr>
          <w:lang w:eastAsia="cs-CZ"/>
        </w:rPr>
        <w:t xml:space="preserve"> a za</w:t>
      </w:r>
      <w:r>
        <w:rPr>
          <w:lang w:eastAsia="cs-CZ"/>
        </w:rPr>
        <w:t>stupitelstvem města schvalovaným</w:t>
      </w:r>
      <w:r w:rsidRPr="00A64586">
        <w:rPr>
          <w:lang w:eastAsia="cs-CZ"/>
        </w:rPr>
        <w:t xml:space="preserve"> „</w:t>
      </w:r>
      <w:r>
        <w:rPr>
          <w:lang w:eastAsia="cs-CZ"/>
        </w:rPr>
        <w:t xml:space="preserve">Akčním plánem na období </w:t>
      </w:r>
      <w:proofErr w:type="gramStart"/>
      <w:r>
        <w:rPr>
          <w:lang w:eastAsia="cs-CZ"/>
        </w:rPr>
        <w:t>2019 - 2020</w:t>
      </w:r>
      <w:proofErr w:type="gramEnd"/>
      <w:r w:rsidRPr="00A64586">
        <w:rPr>
          <w:lang w:eastAsia="cs-CZ"/>
        </w:rPr>
        <w:t>“, kt</w:t>
      </w:r>
      <w:r>
        <w:rPr>
          <w:lang w:eastAsia="cs-CZ"/>
        </w:rPr>
        <w:t>erý byl ZM naposledy projednán v 21.6.2018, usnesením č. 30/07/03/01</w:t>
      </w:r>
    </w:p>
    <w:p w:rsidR="00A64586" w:rsidRPr="00A64586" w:rsidRDefault="00A64586" w:rsidP="00952E0F">
      <w:pPr>
        <w:pStyle w:val="Odstavecseseznamem"/>
        <w:numPr>
          <w:ilvl w:val="0"/>
          <w:numId w:val="14"/>
        </w:numPr>
        <w:jc w:val="both"/>
        <w:rPr>
          <w:lang w:eastAsia="cs-CZ"/>
        </w:rPr>
      </w:pPr>
      <w:r w:rsidRPr="00A64586">
        <w:rPr>
          <w:lang w:eastAsia="cs-CZ"/>
        </w:rPr>
        <w:t>s průběžně doplňovanou a zastupitelstvem města schvalovanou „Bankou projektů</w:t>
      </w:r>
      <w:r w:rsidR="00182427">
        <w:rPr>
          <w:lang w:eastAsia="cs-CZ"/>
        </w:rPr>
        <w:t xml:space="preserve"> na období </w:t>
      </w:r>
      <w:proofErr w:type="gramStart"/>
      <w:r w:rsidR="00182427">
        <w:rPr>
          <w:lang w:eastAsia="cs-CZ"/>
        </w:rPr>
        <w:t>2017 - 2020</w:t>
      </w:r>
      <w:proofErr w:type="gramEnd"/>
      <w:r w:rsidRPr="00A64586">
        <w:rPr>
          <w:lang w:eastAsia="cs-CZ"/>
        </w:rPr>
        <w:t>“, kt</w:t>
      </w:r>
      <w:r w:rsidR="00182427">
        <w:rPr>
          <w:lang w:eastAsia="cs-CZ"/>
        </w:rPr>
        <w:t>erá byla ZM naposledy projednána v 21.6.2018, usnesením č. 30/07/03/02</w:t>
      </w:r>
    </w:p>
    <w:p w:rsidR="00A64586" w:rsidRPr="00A64586" w:rsidRDefault="00A64586" w:rsidP="00A51760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" w:name="_Toc14270569"/>
      <w:r w:rsidRPr="00A6458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Umístění pracovišť městského úřadu</w:t>
      </w:r>
      <w:bookmarkEnd w:id="1"/>
    </w:p>
    <w:p w:rsidR="00A51760" w:rsidRDefault="00BF64E8" w:rsidP="00340E11">
      <w:pPr>
        <w:jc w:val="both"/>
        <w:rPr>
          <w:lang w:eastAsia="cs-CZ"/>
        </w:rPr>
      </w:pPr>
      <w:r w:rsidRPr="00182427">
        <w:rPr>
          <w:highlight w:val="yellow"/>
          <w:lang w:eastAsia="cs-CZ"/>
        </w:rPr>
        <w:t>Pracoviště městského</w:t>
      </w:r>
      <w:r w:rsidRPr="00BF64E8">
        <w:rPr>
          <w:lang w:eastAsia="cs-CZ"/>
        </w:rPr>
        <w:t xml:space="preserve"> </w:t>
      </w:r>
      <w:r w:rsidR="00A64586" w:rsidRPr="00BF64E8">
        <w:rPr>
          <w:lang w:eastAsia="cs-CZ"/>
        </w:rPr>
        <w:t>úřadu</w:t>
      </w:r>
      <w:r w:rsidRPr="00BF64E8">
        <w:rPr>
          <w:lang w:eastAsia="cs-CZ"/>
        </w:rPr>
        <w:t xml:space="preserve"> jsou</w:t>
      </w:r>
      <w:r w:rsidR="00A51760">
        <w:rPr>
          <w:lang w:eastAsia="cs-CZ"/>
        </w:rPr>
        <w:t xml:space="preserve"> v současnosti</w:t>
      </w:r>
      <w:r w:rsidRPr="00BF64E8">
        <w:rPr>
          <w:lang w:eastAsia="cs-CZ"/>
        </w:rPr>
        <w:t xml:space="preserve"> rozmístěna na více místech. V samotné </w:t>
      </w:r>
      <w:r w:rsidR="00340E11" w:rsidRPr="00BF64E8">
        <w:rPr>
          <w:lang w:eastAsia="cs-CZ"/>
        </w:rPr>
        <w:t>budově</w:t>
      </w:r>
      <w:r w:rsidRPr="00BF64E8">
        <w:rPr>
          <w:lang w:eastAsia="cs-CZ"/>
        </w:rPr>
        <w:t xml:space="preserve"> radnice </w:t>
      </w:r>
      <w:r w:rsidR="00A51760">
        <w:rPr>
          <w:lang w:eastAsia="cs-CZ"/>
        </w:rPr>
        <w:t xml:space="preserve">č.p. 19 </w:t>
      </w:r>
      <w:r w:rsidRPr="00BF64E8">
        <w:rPr>
          <w:lang w:eastAsia="cs-CZ"/>
        </w:rPr>
        <w:t xml:space="preserve">pracuje 38 pracovníků a vedení města. Ostatní pracovníci městského úřadu jsou umístěni v budově čp. 118 (stavební </w:t>
      </w:r>
      <w:r w:rsidR="00A64586" w:rsidRPr="00BF64E8">
        <w:rPr>
          <w:lang w:eastAsia="cs-CZ"/>
        </w:rPr>
        <w:t>úřad</w:t>
      </w:r>
      <w:r w:rsidRPr="00BF64E8">
        <w:rPr>
          <w:lang w:eastAsia="cs-CZ"/>
        </w:rPr>
        <w:t xml:space="preserve">, </w:t>
      </w:r>
      <w:r w:rsidR="00A64586">
        <w:rPr>
          <w:lang w:eastAsia="cs-CZ"/>
        </w:rPr>
        <w:t>o</w:t>
      </w:r>
      <w:r w:rsidRPr="00BF64E8">
        <w:rPr>
          <w:lang w:eastAsia="cs-CZ"/>
        </w:rPr>
        <w:t xml:space="preserve">dbor sociálních věcí a odbor správy </w:t>
      </w:r>
      <w:r w:rsidR="00A64586" w:rsidRPr="00BF64E8">
        <w:rPr>
          <w:lang w:eastAsia="cs-CZ"/>
        </w:rPr>
        <w:t>bytového</w:t>
      </w:r>
      <w:r w:rsidRPr="00BF64E8">
        <w:rPr>
          <w:lang w:eastAsia="cs-CZ"/>
        </w:rPr>
        <w:t xml:space="preserve"> a nebytového fondu), další pracoviště jsou pak v kulturním domě, piaristické</w:t>
      </w:r>
      <w:r w:rsidR="00F77353">
        <w:rPr>
          <w:lang w:eastAsia="cs-CZ"/>
        </w:rPr>
        <w:t>m klášteře a v objektu čp.54 - T</w:t>
      </w:r>
      <w:r w:rsidRPr="00BF64E8">
        <w:rPr>
          <w:lang w:eastAsia="cs-CZ"/>
        </w:rPr>
        <w:t xml:space="preserve">IC. </w:t>
      </w:r>
    </w:p>
    <w:p w:rsidR="00A51760" w:rsidRPr="00A51760" w:rsidRDefault="00A51760" w:rsidP="00A51760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2" w:name="_Toc14270570"/>
      <w:r w:rsidRPr="00A5176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Stručná charakteristika již provedených stavebních úprav</w:t>
      </w:r>
      <w:bookmarkEnd w:id="2"/>
    </w:p>
    <w:p w:rsidR="00BF64E8" w:rsidRPr="00BF64E8" w:rsidRDefault="00BF64E8" w:rsidP="00340E11">
      <w:pPr>
        <w:jc w:val="both"/>
        <w:rPr>
          <w:b/>
          <w:bCs/>
          <w:lang w:eastAsia="cs-CZ"/>
        </w:rPr>
      </w:pPr>
      <w:r w:rsidRPr="00BF64E8">
        <w:rPr>
          <w:lang w:eastAsia="cs-CZ"/>
        </w:rPr>
        <w:t>Budova radnice</w:t>
      </w:r>
      <w:r w:rsidR="00A51760">
        <w:rPr>
          <w:lang w:eastAsia="cs-CZ"/>
        </w:rPr>
        <w:t xml:space="preserve">, která je stejně jako měšťanské domy na náměstí </w:t>
      </w:r>
      <w:r w:rsidRPr="00BF64E8">
        <w:rPr>
          <w:lang w:eastAsia="cs-CZ"/>
        </w:rPr>
        <w:t>kulturní památk</w:t>
      </w:r>
      <w:r w:rsidR="00A51760">
        <w:rPr>
          <w:lang w:eastAsia="cs-CZ"/>
        </w:rPr>
        <w:t xml:space="preserve">ou </w:t>
      </w:r>
      <w:r w:rsidRPr="00BF64E8">
        <w:rPr>
          <w:lang w:eastAsia="cs-CZ"/>
        </w:rPr>
        <w:t>prošla již</w:t>
      </w:r>
      <w:r w:rsidR="00A51760">
        <w:rPr>
          <w:lang w:eastAsia="cs-CZ"/>
        </w:rPr>
        <w:t xml:space="preserve"> v dřívějším období</w:t>
      </w:r>
      <w:r w:rsidRPr="00BF64E8">
        <w:rPr>
          <w:lang w:eastAsia="cs-CZ"/>
        </w:rPr>
        <w:t xml:space="preserve"> dílčími etapami úprav</w:t>
      </w:r>
      <w:r w:rsidR="000C7C98">
        <w:rPr>
          <w:lang w:eastAsia="cs-CZ"/>
        </w:rPr>
        <w:t>. Byl přebudován</w:t>
      </w:r>
      <w:r w:rsidR="00A51760">
        <w:rPr>
          <w:lang w:eastAsia="cs-CZ"/>
        </w:rPr>
        <w:t xml:space="preserve"> prostor bývalé obřadní síně – nyní prostor</w:t>
      </w:r>
      <w:r w:rsidRPr="00BF64E8">
        <w:rPr>
          <w:lang w:eastAsia="cs-CZ"/>
        </w:rPr>
        <w:t xml:space="preserve"> vedení města; </w:t>
      </w:r>
      <w:r w:rsidR="00A51760">
        <w:rPr>
          <w:lang w:eastAsia="cs-CZ"/>
        </w:rPr>
        <w:t xml:space="preserve">po vystěhování spořitelny byl tento </w:t>
      </w:r>
      <w:r w:rsidRPr="00BF64E8">
        <w:rPr>
          <w:lang w:eastAsia="cs-CZ"/>
        </w:rPr>
        <w:t xml:space="preserve">prostor </w:t>
      </w:r>
      <w:r w:rsidR="00F77353">
        <w:rPr>
          <w:lang w:eastAsia="cs-CZ"/>
        </w:rPr>
        <w:t xml:space="preserve">upraven pro kanceláře matriky, </w:t>
      </w:r>
      <w:r w:rsidR="00A51760">
        <w:rPr>
          <w:lang w:eastAsia="cs-CZ"/>
        </w:rPr>
        <w:t>evidence obyvatel</w:t>
      </w:r>
      <w:r w:rsidR="00F77353">
        <w:rPr>
          <w:lang w:eastAsia="cs-CZ"/>
        </w:rPr>
        <w:t xml:space="preserve"> a dalších odborů MÚ. Rovněž byla provedena </w:t>
      </w:r>
      <w:r w:rsidR="00A51760">
        <w:rPr>
          <w:lang w:eastAsia="cs-CZ"/>
        </w:rPr>
        <w:t xml:space="preserve">obnova </w:t>
      </w:r>
      <w:r w:rsidR="00F77353">
        <w:rPr>
          <w:lang w:eastAsia="cs-CZ"/>
        </w:rPr>
        <w:t xml:space="preserve">dřevěných </w:t>
      </w:r>
      <w:r w:rsidR="00A51760">
        <w:rPr>
          <w:lang w:eastAsia="cs-CZ"/>
        </w:rPr>
        <w:t xml:space="preserve">oken a </w:t>
      </w:r>
      <w:r w:rsidR="000C7C98">
        <w:rPr>
          <w:lang w:eastAsia="cs-CZ"/>
        </w:rPr>
        <w:t>větší části</w:t>
      </w:r>
      <w:r w:rsidRPr="00BF64E8">
        <w:rPr>
          <w:lang w:eastAsia="cs-CZ"/>
        </w:rPr>
        <w:t xml:space="preserve"> fasády.</w:t>
      </w:r>
    </w:p>
    <w:p w:rsidR="00A51760" w:rsidRPr="00A51760" w:rsidRDefault="00A51760" w:rsidP="00A51760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3" w:name="_Toc14270571"/>
      <w:r w:rsidRPr="00A5176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Projektový záměr a připravenost stavební dokumentace projektu</w:t>
      </w:r>
      <w:bookmarkEnd w:id="3"/>
    </w:p>
    <w:p w:rsidR="003214A1" w:rsidRDefault="00BF64E8" w:rsidP="00340E11">
      <w:pPr>
        <w:jc w:val="both"/>
        <w:rPr>
          <w:lang w:eastAsia="cs-CZ"/>
        </w:rPr>
      </w:pPr>
      <w:r w:rsidRPr="00BF64E8">
        <w:rPr>
          <w:lang w:eastAsia="cs-CZ"/>
        </w:rPr>
        <w:t xml:space="preserve">Předkládaný </w:t>
      </w:r>
      <w:r w:rsidR="00A64586" w:rsidRPr="00BF64E8">
        <w:rPr>
          <w:lang w:eastAsia="cs-CZ"/>
        </w:rPr>
        <w:t>záměr stavebních</w:t>
      </w:r>
      <w:r w:rsidRPr="00BF64E8">
        <w:rPr>
          <w:lang w:eastAsia="cs-CZ"/>
        </w:rPr>
        <w:t xml:space="preserve"> úprav radnice přechází z předchozích volebních období, kdy byla problematika technického a provozního stavu radnice již řešena. Zastupitelstvo města svým usnesením č. 21/8/10/</w:t>
      </w:r>
      <w:r w:rsidR="00A64586" w:rsidRPr="00BF64E8">
        <w:rPr>
          <w:lang w:eastAsia="cs-CZ"/>
        </w:rPr>
        <w:t>1 </w:t>
      </w:r>
      <w:r w:rsidR="00F77353">
        <w:rPr>
          <w:lang w:eastAsia="cs-CZ"/>
        </w:rPr>
        <w:t xml:space="preserve">ze dne 28.3.2017 </w:t>
      </w:r>
      <w:r w:rsidR="00A64586" w:rsidRPr="00BF64E8">
        <w:rPr>
          <w:lang w:eastAsia="cs-CZ"/>
        </w:rPr>
        <w:t>schválilo</w:t>
      </w:r>
      <w:r w:rsidRPr="00BF64E8">
        <w:rPr>
          <w:lang w:eastAsia="cs-CZ"/>
        </w:rPr>
        <w:t xml:space="preserve"> projektový záměr akce " Stavební úpravy radnice v </w:t>
      </w:r>
      <w:proofErr w:type="spellStart"/>
      <w:r w:rsidRPr="00BF64E8">
        <w:rPr>
          <w:lang w:eastAsia="cs-CZ"/>
        </w:rPr>
        <w:t>Příboře</w:t>
      </w:r>
      <w:proofErr w:type="spellEnd"/>
      <w:r w:rsidRPr="00BF64E8">
        <w:rPr>
          <w:lang w:eastAsia="cs-CZ"/>
        </w:rPr>
        <w:t>"</w:t>
      </w:r>
      <w:r w:rsidR="003214A1">
        <w:rPr>
          <w:lang w:eastAsia="cs-CZ"/>
        </w:rPr>
        <w:t xml:space="preserve">. </w:t>
      </w:r>
      <w:r w:rsidR="003214A1">
        <w:rPr>
          <w:lang w:eastAsia="cs-CZ"/>
        </w:rPr>
        <w:lastRenderedPageBreak/>
        <w:t>S tímto záměrem korespondují již provedené úpravy (1.NP a fasáda) a taktéž s ním korespondují další práce popsané níže.</w:t>
      </w:r>
    </w:p>
    <w:p w:rsidR="00BF64E8" w:rsidRDefault="00BF64E8" w:rsidP="00A64586">
      <w:pPr>
        <w:pStyle w:val="Nadpis1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4" w:name="_Toc14270572"/>
      <w:r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Stručná stavebně technická charakteristika projektu</w:t>
      </w:r>
      <w:bookmarkEnd w:id="4"/>
    </w:p>
    <w:p w:rsidR="001E2CF1" w:rsidRPr="001E2CF1" w:rsidRDefault="001E2CF1" w:rsidP="001E2CF1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5" w:name="_Toc14270573"/>
      <w:r w:rsidRPr="001E2CF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Projektová dokumentace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a stavební povolení</w:t>
      </w:r>
      <w:bookmarkEnd w:id="5"/>
    </w:p>
    <w:p w:rsidR="003214A1" w:rsidRDefault="00204DBC" w:rsidP="003214A1">
      <w:pPr>
        <w:jc w:val="both"/>
        <w:rPr>
          <w:lang w:eastAsia="cs-CZ"/>
        </w:rPr>
      </w:pPr>
      <w:r>
        <w:rPr>
          <w:lang w:eastAsia="cs-CZ"/>
        </w:rPr>
        <w:t>V roce 2018 byla dokon</w:t>
      </w:r>
      <w:r w:rsidR="003214A1" w:rsidRPr="00BF64E8">
        <w:rPr>
          <w:lang w:eastAsia="cs-CZ"/>
        </w:rPr>
        <w:t xml:space="preserve">čena projektová </w:t>
      </w:r>
      <w:r w:rsidR="003214A1" w:rsidRPr="003214A1">
        <w:rPr>
          <w:lang w:eastAsia="cs-CZ"/>
        </w:rPr>
        <w:t>dokumentace</w:t>
      </w:r>
      <w:r w:rsidR="003214A1" w:rsidRPr="00BF64E8">
        <w:rPr>
          <w:lang w:eastAsia="cs-CZ"/>
        </w:rPr>
        <w:t xml:space="preserve"> pro realizaci stavby</w:t>
      </w:r>
      <w:r w:rsidR="003214A1">
        <w:rPr>
          <w:lang w:eastAsia="cs-CZ"/>
        </w:rPr>
        <w:t xml:space="preserve"> </w:t>
      </w:r>
      <w:r w:rsidR="003214A1" w:rsidRPr="003214A1">
        <w:rPr>
          <w:b/>
          <w:bCs/>
          <w:lang w:eastAsia="cs-CZ"/>
        </w:rPr>
        <w:t>„</w:t>
      </w:r>
      <w:r w:rsidR="003214A1" w:rsidRPr="00BF64E8">
        <w:rPr>
          <w:b/>
          <w:bCs/>
          <w:lang w:eastAsia="cs-CZ"/>
        </w:rPr>
        <w:t>Stavební úpravy radnice v </w:t>
      </w:r>
      <w:proofErr w:type="spellStart"/>
      <w:r w:rsidR="003214A1" w:rsidRPr="00BF64E8">
        <w:rPr>
          <w:b/>
          <w:bCs/>
          <w:lang w:eastAsia="cs-CZ"/>
        </w:rPr>
        <w:t>Příboře</w:t>
      </w:r>
      <w:proofErr w:type="spellEnd"/>
      <w:r w:rsidR="003214A1" w:rsidRPr="00BF64E8">
        <w:rPr>
          <w:b/>
          <w:bCs/>
          <w:lang w:eastAsia="cs-CZ"/>
        </w:rPr>
        <w:t>",</w:t>
      </w:r>
      <w:r w:rsidR="003214A1" w:rsidRPr="00BF64E8">
        <w:rPr>
          <w:lang w:eastAsia="cs-CZ"/>
        </w:rPr>
        <w:t xml:space="preserve"> dokumentace pro provedení stavby, projektant: ATELIER 20Q1 s.r.o. Ing. arch. Q</w:t>
      </w:r>
      <w:r w:rsidR="00E67719">
        <w:rPr>
          <w:lang w:eastAsia="cs-CZ"/>
        </w:rPr>
        <w:t xml:space="preserve">UITT, 04/2018, </w:t>
      </w:r>
      <w:proofErr w:type="spellStart"/>
      <w:r w:rsidR="00E67719">
        <w:rPr>
          <w:lang w:eastAsia="cs-CZ"/>
        </w:rPr>
        <w:t>zč</w:t>
      </w:r>
      <w:proofErr w:type="spellEnd"/>
      <w:r w:rsidR="00E67719">
        <w:rPr>
          <w:lang w:eastAsia="cs-CZ"/>
        </w:rPr>
        <w:t xml:space="preserve">. 17 441. </w:t>
      </w:r>
      <w:r w:rsidR="003214A1">
        <w:rPr>
          <w:lang w:eastAsia="cs-CZ"/>
        </w:rPr>
        <w:t>Pro tuto projektovou dokumentaci bylo stavebním úřadem v </w:t>
      </w:r>
      <w:proofErr w:type="spellStart"/>
      <w:r w:rsidR="003214A1">
        <w:rPr>
          <w:lang w:eastAsia="cs-CZ"/>
        </w:rPr>
        <w:t>Příboře</w:t>
      </w:r>
      <w:proofErr w:type="spellEnd"/>
      <w:r w:rsidR="003214A1">
        <w:rPr>
          <w:lang w:eastAsia="cs-CZ"/>
        </w:rPr>
        <w:t xml:space="preserve"> vydáno</w:t>
      </w:r>
      <w:r w:rsidR="003214A1" w:rsidRPr="00BF64E8">
        <w:rPr>
          <w:lang w:eastAsia="cs-CZ"/>
        </w:rPr>
        <w:t xml:space="preserve"> </w:t>
      </w:r>
      <w:r w:rsidR="003214A1">
        <w:rPr>
          <w:lang w:eastAsia="cs-CZ"/>
        </w:rPr>
        <w:t xml:space="preserve">dne 16.3.2018 </w:t>
      </w:r>
      <w:r w:rsidR="003214A1" w:rsidRPr="00BF64E8">
        <w:rPr>
          <w:lang w:eastAsia="cs-CZ"/>
        </w:rPr>
        <w:t xml:space="preserve">stavební povolení </w:t>
      </w:r>
      <w:r w:rsidR="003214A1">
        <w:rPr>
          <w:lang w:eastAsia="cs-CZ"/>
        </w:rPr>
        <w:t>čj. 2141/2018/Kub OSÚP-463/2018.  Stavební povolení člení stavbu na dvě etapy a to:</w:t>
      </w:r>
    </w:p>
    <w:p w:rsidR="003214A1" w:rsidRDefault="003214A1" w:rsidP="003214A1">
      <w:pPr>
        <w:jc w:val="both"/>
        <w:rPr>
          <w:lang w:eastAsia="cs-CZ"/>
        </w:rPr>
      </w:pPr>
      <w:r w:rsidRPr="003214A1">
        <w:rPr>
          <w:noProof/>
          <w:lang w:eastAsia="cs-CZ"/>
        </w:rPr>
        <w:drawing>
          <wp:inline distT="0" distB="0" distL="0" distR="0">
            <wp:extent cx="5575047" cy="1847850"/>
            <wp:effectExtent l="19050" t="19050" r="2603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806" cy="1851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2CF1" w:rsidRDefault="001E2CF1" w:rsidP="003214A1">
      <w:pPr>
        <w:jc w:val="both"/>
        <w:rPr>
          <w:lang w:eastAsia="cs-CZ"/>
        </w:rPr>
      </w:pPr>
      <w:r w:rsidRPr="001E2CF1">
        <w:rPr>
          <w:lang w:eastAsia="cs-CZ"/>
        </w:rPr>
        <w:t>Z tohoto stavebního povolení je doposud provedena pouze částečná obnova fasády (od náměstí a</w:t>
      </w:r>
      <w:r w:rsidR="00204DBC">
        <w:rPr>
          <w:lang w:eastAsia="cs-CZ"/>
        </w:rPr>
        <w:t xml:space="preserve"> ul. Jičínské). Předchozí úpravy</w:t>
      </w:r>
      <w:r w:rsidRPr="001E2CF1">
        <w:rPr>
          <w:lang w:eastAsia="cs-CZ"/>
        </w:rPr>
        <w:t xml:space="preserve"> (okna, prostor</w:t>
      </w:r>
      <w:r w:rsidR="00204DBC">
        <w:rPr>
          <w:lang w:eastAsia="cs-CZ"/>
        </w:rPr>
        <w:t>y</w:t>
      </w:r>
      <w:r w:rsidRPr="001E2CF1">
        <w:rPr>
          <w:lang w:eastAsia="cs-CZ"/>
        </w:rPr>
        <w:t xml:space="preserve"> po spořitelně) byly realizovány na základě </w:t>
      </w:r>
      <w:r w:rsidR="00204DBC">
        <w:rPr>
          <w:lang w:eastAsia="cs-CZ"/>
        </w:rPr>
        <w:t xml:space="preserve">jiné dokumentace a </w:t>
      </w:r>
      <w:r w:rsidRPr="001E2CF1">
        <w:rPr>
          <w:lang w:eastAsia="cs-CZ"/>
        </w:rPr>
        <w:t>samostatného stavebního povolení</w:t>
      </w:r>
      <w:r>
        <w:rPr>
          <w:lang w:eastAsia="cs-CZ"/>
        </w:rPr>
        <w:t>.</w:t>
      </w:r>
    </w:p>
    <w:p w:rsidR="001E2CF1" w:rsidRPr="001E2CF1" w:rsidRDefault="001E2CF1" w:rsidP="001E2CF1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6" w:name="_Toc14270574"/>
      <w:r w:rsidRPr="001E2CF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Projektově připravené, doposud nerealizované úpravy</w:t>
      </w:r>
      <w:bookmarkEnd w:id="6"/>
    </w:p>
    <w:p w:rsidR="00BF64E8" w:rsidRPr="00BF64E8" w:rsidRDefault="001E2CF1" w:rsidP="001E2CF1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1E2CF1">
        <w:rPr>
          <w:lang w:eastAsia="cs-CZ"/>
        </w:rPr>
        <w:t>D</w:t>
      </w:r>
      <w:r w:rsidR="00BF64E8" w:rsidRPr="00BF64E8">
        <w:rPr>
          <w:lang w:eastAsia="cs-CZ"/>
        </w:rPr>
        <w:t>okonč</w:t>
      </w:r>
      <w:r w:rsidR="00204DBC">
        <w:rPr>
          <w:lang w:eastAsia="cs-CZ"/>
        </w:rPr>
        <w:t>ení obnovy</w:t>
      </w:r>
      <w:r w:rsidR="00BF64E8" w:rsidRPr="00BF64E8">
        <w:rPr>
          <w:lang w:eastAsia="cs-CZ"/>
        </w:rPr>
        <w:t xml:space="preserve"> fasády od ulice Karla Čapka a obnov</w:t>
      </w:r>
      <w:r w:rsidR="00204DBC">
        <w:rPr>
          <w:lang w:eastAsia="cs-CZ"/>
        </w:rPr>
        <w:t>a zbývajících nerealizovaných</w:t>
      </w:r>
      <w:r w:rsidR="00BF64E8" w:rsidRPr="00BF64E8">
        <w:rPr>
          <w:lang w:eastAsia="cs-CZ"/>
        </w:rPr>
        <w:t xml:space="preserve"> oken</w:t>
      </w:r>
      <w:r w:rsidR="008F66BD">
        <w:rPr>
          <w:lang w:eastAsia="cs-CZ"/>
        </w:rPr>
        <w:t>.</w:t>
      </w:r>
    </w:p>
    <w:p w:rsidR="00BF64E8" w:rsidRDefault="00BF64E8" w:rsidP="001E2CF1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>V souladu se zákonem o zabezpečení pohybu h</w:t>
      </w:r>
      <w:r w:rsidR="001E2CF1" w:rsidRPr="001E2CF1">
        <w:rPr>
          <w:lang w:eastAsia="cs-CZ"/>
        </w:rPr>
        <w:t>a</w:t>
      </w:r>
      <w:r w:rsidRPr="00BF64E8">
        <w:rPr>
          <w:lang w:eastAsia="cs-CZ"/>
        </w:rPr>
        <w:t>ndi</w:t>
      </w:r>
      <w:r w:rsidR="001E2CF1" w:rsidRPr="001E2CF1">
        <w:rPr>
          <w:lang w:eastAsia="cs-CZ"/>
        </w:rPr>
        <w:t>ca</w:t>
      </w:r>
      <w:r w:rsidRPr="00BF64E8">
        <w:rPr>
          <w:lang w:eastAsia="cs-CZ"/>
        </w:rPr>
        <w:t xml:space="preserve">povaných </w:t>
      </w:r>
      <w:r w:rsidR="001E2CF1" w:rsidRPr="00BF64E8">
        <w:rPr>
          <w:lang w:eastAsia="cs-CZ"/>
        </w:rPr>
        <w:t>osob v</w:t>
      </w:r>
      <w:r w:rsidRPr="00BF64E8">
        <w:rPr>
          <w:lang w:eastAsia="cs-CZ"/>
        </w:rPr>
        <w:t xml:space="preserve"> rámci bezbariérového přístupu na </w:t>
      </w:r>
      <w:r w:rsidR="00204DBC">
        <w:rPr>
          <w:lang w:eastAsia="cs-CZ"/>
        </w:rPr>
        <w:t>úřad vybudování nového</w:t>
      </w:r>
      <w:r w:rsidRPr="00BF64E8">
        <w:rPr>
          <w:lang w:eastAsia="cs-CZ"/>
        </w:rPr>
        <w:t xml:space="preserve"> venkovní</w:t>
      </w:r>
      <w:r w:rsidR="00204DBC">
        <w:rPr>
          <w:lang w:eastAsia="cs-CZ"/>
        </w:rPr>
        <w:t>ho proskleného</w:t>
      </w:r>
      <w:r w:rsidRPr="00BF64E8">
        <w:rPr>
          <w:lang w:eastAsia="cs-CZ"/>
        </w:rPr>
        <w:t xml:space="preserve"> </w:t>
      </w:r>
      <w:r w:rsidR="001E2CF1" w:rsidRPr="00BF64E8">
        <w:rPr>
          <w:lang w:eastAsia="cs-CZ"/>
        </w:rPr>
        <w:t>výtah</w:t>
      </w:r>
      <w:r w:rsidR="00204DBC">
        <w:rPr>
          <w:lang w:eastAsia="cs-CZ"/>
        </w:rPr>
        <w:t>u</w:t>
      </w:r>
      <w:r w:rsidR="001E2CF1" w:rsidRPr="00BF64E8">
        <w:rPr>
          <w:lang w:eastAsia="cs-CZ"/>
        </w:rPr>
        <w:t> s</w:t>
      </w:r>
      <w:r w:rsidRPr="00BF64E8">
        <w:rPr>
          <w:lang w:eastAsia="cs-CZ"/>
        </w:rPr>
        <w:t> </w:t>
      </w:r>
      <w:r w:rsidR="001E2CF1" w:rsidRPr="00BF64E8">
        <w:rPr>
          <w:lang w:eastAsia="cs-CZ"/>
        </w:rPr>
        <w:t>nástupem ze</w:t>
      </w:r>
      <w:r w:rsidRPr="00BF64E8">
        <w:rPr>
          <w:lang w:eastAsia="cs-CZ"/>
        </w:rPr>
        <w:t xml:space="preserve"> zadní </w:t>
      </w:r>
      <w:r w:rsidR="001E2CF1" w:rsidRPr="00BF64E8">
        <w:rPr>
          <w:lang w:eastAsia="cs-CZ"/>
        </w:rPr>
        <w:t>části objektu</w:t>
      </w:r>
      <w:r w:rsidRPr="00BF64E8">
        <w:rPr>
          <w:lang w:eastAsia="cs-CZ"/>
        </w:rPr>
        <w:t xml:space="preserve"> a vstupy do jednotlivých podlaží.</w:t>
      </w:r>
    </w:p>
    <w:p w:rsidR="001E2CF1" w:rsidRPr="001E2CF1" w:rsidRDefault="001E2CF1" w:rsidP="001E2CF1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Rekonstrukce sociálníc</w:t>
      </w:r>
      <w:r w:rsidR="00204DBC">
        <w:rPr>
          <w:lang w:eastAsia="cs-CZ"/>
        </w:rPr>
        <w:t xml:space="preserve">h zařízení, včetně </w:t>
      </w:r>
      <w:proofErr w:type="spellStart"/>
      <w:r w:rsidR="0094711F">
        <w:rPr>
          <w:lang w:eastAsia="cs-CZ"/>
        </w:rPr>
        <w:t>zdravotechnických</w:t>
      </w:r>
      <w:proofErr w:type="spellEnd"/>
      <w:r w:rsidR="0094711F">
        <w:rPr>
          <w:lang w:eastAsia="cs-CZ"/>
        </w:rPr>
        <w:t xml:space="preserve"> instalací</w:t>
      </w:r>
      <w:r w:rsidR="008F66BD">
        <w:rPr>
          <w:lang w:eastAsia="cs-CZ"/>
        </w:rPr>
        <w:t>.</w:t>
      </w:r>
      <w:r>
        <w:rPr>
          <w:lang w:eastAsia="cs-CZ"/>
        </w:rPr>
        <w:t xml:space="preserve">  </w:t>
      </w:r>
    </w:p>
    <w:p w:rsidR="00BF64E8" w:rsidRPr="00BF64E8" w:rsidRDefault="00BF64E8" w:rsidP="00665F09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 xml:space="preserve">V rámci interiéru </w:t>
      </w:r>
      <w:r w:rsidR="00665F09" w:rsidRPr="00BF64E8">
        <w:rPr>
          <w:lang w:eastAsia="cs-CZ"/>
        </w:rPr>
        <w:t>budou opraveny</w:t>
      </w:r>
      <w:r w:rsidR="00665F09">
        <w:rPr>
          <w:lang w:eastAsia="cs-CZ"/>
        </w:rPr>
        <w:t xml:space="preserve"> (</w:t>
      </w:r>
      <w:r w:rsidRPr="00BF64E8">
        <w:rPr>
          <w:lang w:eastAsia="cs-CZ"/>
        </w:rPr>
        <w:t>doplněny,</w:t>
      </w:r>
      <w:r w:rsidR="00665F09">
        <w:rPr>
          <w:lang w:eastAsia="cs-CZ"/>
        </w:rPr>
        <w:t xml:space="preserve"> </w:t>
      </w:r>
      <w:r w:rsidR="00665F09" w:rsidRPr="00BF64E8">
        <w:rPr>
          <w:lang w:eastAsia="cs-CZ"/>
        </w:rPr>
        <w:t>rekonstruovány</w:t>
      </w:r>
      <w:r w:rsidR="00665F09">
        <w:rPr>
          <w:lang w:eastAsia="cs-CZ"/>
        </w:rPr>
        <w:t>)</w:t>
      </w:r>
      <w:r w:rsidR="00665F09" w:rsidRPr="00BF64E8">
        <w:rPr>
          <w:lang w:eastAsia="cs-CZ"/>
        </w:rPr>
        <w:t xml:space="preserve"> povrchy</w:t>
      </w:r>
      <w:r w:rsidR="00665F09">
        <w:rPr>
          <w:lang w:eastAsia="cs-CZ"/>
        </w:rPr>
        <w:t xml:space="preserve"> konstrukcí</w:t>
      </w:r>
      <w:r w:rsidR="00665F09" w:rsidRPr="00BF64E8">
        <w:rPr>
          <w:lang w:eastAsia="cs-CZ"/>
        </w:rPr>
        <w:t xml:space="preserve"> – dlažby</w:t>
      </w:r>
      <w:r w:rsidRPr="00BF64E8">
        <w:rPr>
          <w:lang w:eastAsia="cs-CZ"/>
        </w:rPr>
        <w:t>, obkla</w:t>
      </w:r>
      <w:r w:rsidR="00665F09">
        <w:rPr>
          <w:lang w:eastAsia="cs-CZ"/>
        </w:rPr>
        <w:t>dy</w:t>
      </w:r>
      <w:r w:rsidRPr="00BF64E8">
        <w:rPr>
          <w:lang w:eastAsia="cs-CZ"/>
        </w:rPr>
        <w:t>, omít</w:t>
      </w:r>
      <w:r w:rsidR="00665F09">
        <w:rPr>
          <w:lang w:eastAsia="cs-CZ"/>
        </w:rPr>
        <w:t>ky</w:t>
      </w:r>
      <w:r w:rsidRPr="00BF64E8">
        <w:rPr>
          <w:lang w:eastAsia="cs-CZ"/>
        </w:rPr>
        <w:t xml:space="preserve"> stěn i stropů</w:t>
      </w:r>
      <w:r w:rsidR="00665F09">
        <w:rPr>
          <w:lang w:eastAsia="cs-CZ"/>
        </w:rPr>
        <w:t>.</w:t>
      </w:r>
      <w:r w:rsidR="0094711F">
        <w:rPr>
          <w:lang w:eastAsia="cs-CZ"/>
        </w:rPr>
        <w:t xml:space="preserve"> V případě podlah je z důvodu zastavění těchto ploch nábytkem počítáno s</w:t>
      </w:r>
      <w:r w:rsidR="00AA4FDA">
        <w:rPr>
          <w:lang w:eastAsia="cs-CZ"/>
        </w:rPr>
        <w:t> </w:t>
      </w:r>
      <w:r w:rsidR="0094711F">
        <w:rPr>
          <w:lang w:eastAsia="cs-CZ"/>
        </w:rPr>
        <w:t>procentuální</w:t>
      </w:r>
      <w:r w:rsidR="00AA4FDA">
        <w:rPr>
          <w:lang w:eastAsia="cs-CZ"/>
        </w:rPr>
        <w:t>m opravou. Definitivní rozsah může být stanoven až po celoplošném odkrytí. Převážně se jedná o vlysové povrchy.</w:t>
      </w:r>
    </w:p>
    <w:p w:rsidR="00BF64E8" w:rsidRPr="00BF64E8" w:rsidRDefault="00BF64E8" w:rsidP="00665F09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 xml:space="preserve">Součástí úprav interiéru je rovněž </w:t>
      </w:r>
      <w:r w:rsidR="00665F09" w:rsidRPr="00BF64E8">
        <w:rPr>
          <w:lang w:eastAsia="cs-CZ"/>
        </w:rPr>
        <w:t>oprava stávajících</w:t>
      </w:r>
      <w:r w:rsidR="00AA4FDA">
        <w:rPr>
          <w:lang w:eastAsia="cs-CZ"/>
        </w:rPr>
        <w:t xml:space="preserve"> dveří, zábradlí a</w:t>
      </w:r>
      <w:r w:rsidRPr="00BF64E8">
        <w:rPr>
          <w:lang w:eastAsia="cs-CZ"/>
        </w:rPr>
        <w:t xml:space="preserve"> prosklených stěn</w:t>
      </w:r>
      <w:r w:rsidR="00AA4FDA">
        <w:rPr>
          <w:lang w:eastAsia="cs-CZ"/>
        </w:rPr>
        <w:t xml:space="preserve"> na schodišti</w:t>
      </w:r>
      <w:r w:rsidRPr="00BF64E8">
        <w:rPr>
          <w:lang w:eastAsia="cs-CZ"/>
        </w:rPr>
        <w:t>.</w:t>
      </w:r>
    </w:p>
    <w:p w:rsidR="00BF64E8" w:rsidRPr="00BF64E8" w:rsidRDefault="00BF64E8" w:rsidP="00665F09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>Z </w:t>
      </w:r>
      <w:r w:rsidR="00665F09" w:rsidRPr="00BF64E8">
        <w:rPr>
          <w:lang w:eastAsia="cs-CZ"/>
        </w:rPr>
        <w:t>hlediska rozvodů</w:t>
      </w:r>
      <w:r w:rsidRPr="00BF64E8">
        <w:rPr>
          <w:lang w:eastAsia="cs-CZ"/>
        </w:rPr>
        <w:t xml:space="preserve"> elektro bude provedena výměna </w:t>
      </w:r>
      <w:r w:rsidR="00665F09" w:rsidRPr="00BF64E8">
        <w:rPr>
          <w:lang w:eastAsia="cs-CZ"/>
        </w:rPr>
        <w:t>vypínačů</w:t>
      </w:r>
      <w:r w:rsidRPr="00BF64E8">
        <w:rPr>
          <w:lang w:eastAsia="cs-CZ"/>
        </w:rPr>
        <w:t xml:space="preserve">, zásuvek, poškozených či nefunkčních rozvodů. Dále budou </w:t>
      </w:r>
      <w:r w:rsidR="00665F09" w:rsidRPr="00BF64E8">
        <w:rPr>
          <w:lang w:eastAsia="cs-CZ"/>
        </w:rPr>
        <w:t>vyměněna </w:t>
      </w:r>
      <w:r w:rsidR="00665F09">
        <w:rPr>
          <w:lang w:eastAsia="cs-CZ"/>
        </w:rPr>
        <w:t>osvětlovací tělesa</w:t>
      </w:r>
      <w:r w:rsidRPr="00BF64E8">
        <w:rPr>
          <w:lang w:eastAsia="cs-CZ"/>
        </w:rPr>
        <w:t>. Bude provedena úprava rozvaděčů a datových kabelů</w:t>
      </w:r>
      <w:r w:rsidR="008F66BD">
        <w:rPr>
          <w:lang w:eastAsia="cs-CZ"/>
        </w:rPr>
        <w:t>.</w:t>
      </w:r>
      <w:r w:rsidR="00204DBC">
        <w:rPr>
          <w:lang w:eastAsia="cs-CZ"/>
        </w:rPr>
        <w:t xml:space="preserve"> Nové rozvody pro zásuvkové obvody a slaboproud budou vedeny při zemi ve speciálních parapetních kanálech.</w:t>
      </w:r>
    </w:p>
    <w:p w:rsidR="00BF64E8" w:rsidRPr="00BF64E8" w:rsidRDefault="00BF64E8" w:rsidP="00665F09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 xml:space="preserve">Budou </w:t>
      </w:r>
      <w:r w:rsidRPr="00665F09">
        <w:rPr>
          <w:lang w:eastAsia="cs-CZ"/>
        </w:rPr>
        <w:t>provedeny nové</w:t>
      </w:r>
      <w:r w:rsidRPr="00BF64E8">
        <w:rPr>
          <w:lang w:eastAsia="cs-CZ"/>
        </w:rPr>
        <w:t xml:space="preserve"> </w:t>
      </w:r>
      <w:r w:rsidR="00665F09" w:rsidRPr="00BF64E8">
        <w:rPr>
          <w:lang w:eastAsia="cs-CZ"/>
        </w:rPr>
        <w:t>rozvody vody</w:t>
      </w:r>
      <w:r w:rsidRPr="00BF64E8">
        <w:rPr>
          <w:lang w:eastAsia="cs-CZ"/>
        </w:rPr>
        <w:t>, odpady od sociálních zařízení, zařizovacích předmětů a vzduchotechniky</w:t>
      </w:r>
      <w:r w:rsidR="008F66BD">
        <w:rPr>
          <w:lang w:eastAsia="cs-CZ"/>
        </w:rPr>
        <w:t>.</w:t>
      </w:r>
    </w:p>
    <w:p w:rsidR="008F66BD" w:rsidRDefault="00BF64E8" w:rsidP="008F66BD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t xml:space="preserve">V kotelně budou instalovány nové </w:t>
      </w:r>
      <w:r w:rsidR="00665F09" w:rsidRPr="00BF64E8">
        <w:rPr>
          <w:lang w:eastAsia="cs-CZ"/>
        </w:rPr>
        <w:t>zdroje – plynové</w:t>
      </w:r>
      <w:r w:rsidR="008F66BD">
        <w:rPr>
          <w:lang w:eastAsia="cs-CZ"/>
        </w:rPr>
        <w:t xml:space="preserve"> kondenzační kotle a</w:t>
      </w:r>
      <w:r w:rsidRPr="00BF64E8">
        <w:rPr>
          <w:lang w:eastAsia="cs-CZ"/>
        </w:rPr>
        <w:t xml:space="preserve"> </w:t>
      </w:r>
      <w:r w:rsidRPr="00665F09">
        <w:rPr>
          <w:lang w:eastAsia="cs-CZ"/>
        </w:rPr>
        <w:t>upraveny některé</w:t>
      </w:r>
      <w:r w:rsidR="008F66BD">
        <w:rPr>
          <w:lang w:eastAsia="cs-CZ"/>
        </w:rPr>
        <w:t xml:space="preserve"> rozvody. V</w:t>
      </w:r>
      <w:r w:rsidRPr="00BF64E8">
        <w:rPr>
          <w:lang w:eastAsia="cs-CZ"/>
        </w:rPr>
        <w:t xml:space="preserve">yměněna </w:t>
      </w:r>
      <w:r w:rsidR="008F66BD">
        <w:rPr>
          <w:lang w:eastAsia="cs-CZ"/>
        </w:rPr>
        <w:t xml:space="preserve">budou </w:t>
      </w:r>
      <w:r w:rsidRPr="00BF64E8">
        <w:rPr>
          <w:lang w:eastAsia="cs-CZ"/>
        </w:rPr>
        <w:t>otopná tělesa, v</w:t>
      </w:r>
      <w:r w:rsidR="000C7C98">
        <w:rPr>
          <w:lang w:eastAsia="cs-CZ"/>
        </w:rPr>
        <w:t>e</w:t>
      </w:r>
      <w:r w:rsidRPr="00BF64E8">
        <w:rPr>
          <w:lang w:eastAsia="cs-CZ"/>
        </w:rPr>
        <w:t xml:space="preserve"> společenských prostorách budou </w:t>
      </w:r>
      <w:r w:rsidRPr="00665F09">
        <w:rPr>
          <w:lang w:eastAsia="cs-CZ"/>
        </w:rPr>
        <w:t>tělesa litinová</w:t>
      </w:r>
      <w:r w:rsidR="008F66BD">
        <w:rPr>
          <w:lang w:eastAsia="cs-CZ"/>
        </w:rPr>
        <w:t xml:space="preserve">. Zachována zůstane převážná většina rozvodů. </w:t>
      </w:r>
    </w:p>
    <w:p w:rsidR="00BF64E8" w:rsidRDefault="00BF64E8" w:rsidP="008F66BD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BF64E8">
        <w:rPr>
          <w:lang w:eastAsia="cs-CZ"/>
        </w:rPr>
        <w:lastRenderedPageBreak/>
        <w:t xml:space="preserve">V rámci lepší a přehledné orientace v objektu bude realizován nový informační systém </w:t>
      </w:r>
      <w:r w:rsidR="00665F09" w:rsidRPr="00BF64E8">
        <w:rPr>
          <w:lang w:eastAsia="cs-CZ"/>
        </w:rPr>
        <w:t>včetně </w:t>
      </w:r>
      <w:r w:rsidR="00665F09">
        <w:rPr>
          <w:lang w:eastAsia="cs-CZ"/>
        </w:rPr>
        <w:t>informačních</w:t>
      </w:r>
      <w:r w:rsidRPr="00BF64E8">
        <w:rPr>
          <w:lang w:eastAsia="cs-CZ"/>
        </w:rPr>
        <w:t xml:space="preserve"> tabulí a </w:t>
      </w:r>
      <w:r w:rsidR="00665F09" w:rsidRPr="00BF64E8">
        <w:rPr>
          <w:lang w:eastAsia="cs-CZ"/>
        </w:rPr>
        <w:t>označení kanceláří</w:t>
      </w:r>
      <w:r w:rsidR="008F66BD">
        <w:rPr>
          <w:lang w:eastAsia="cs-CZ"/>
        </w:rPr>
        <w:t>.</w:t>
      </w:r>
    </w:p>
    <w:p w:rsidR="00665F09" w:rsidRPr="00BF64E8" w:rsidRDefault="00665F09" w:rsidP="00665F09">
      <w:pPr>
        <w:jc w:val="both"/>
        <w:rPr>
          <w:lang w:eastAsia="cs-CZ"/>
        </w:rPr>
      </w:pPr>
      <w:r>
        <w:rPr>
          <w:lang w:eastAsia="cs-CZ"/>
        </w:rPr>
        <w:t>Výše popsaný rozsah</w:t>
      </w:r>
      <w:r w:rsidR="00C86C21">
        <w:rPr>
          <w:lang w:eastAsia="cs-CZ"/>
        </w:rPr>
        <w:t xml:space="preserve"> stavebních prací</w:t>
      </w:r>
      <w:r>
        <w:rPr>
          <w:lang w:eastAsia="cs-CZ"/>
        </w:rPr>
        <w:t xml:space="preserve"> je pouze rámcovým popisem a přesná definice je daná projektovou dokumentací</w:t>
      </w:r>
      <w:r w:rsidR="00C86C21">
        <w:rPr>
          <w:lang w:eastAsia="cs-CZ"/>
        </w:rPr>
        <w:t xml:space="preserve"> a stavebním povolením</w:t>
      </w:r>
      <w:r>
        <w:rPr>
          <w:lang w:eastAsia="cs-CZ"/>
        </w:rPr>
        <w:t>.</w:t>
      </w:r>
    </w:p>
    <w:p w:rsidR="00BF64E8" w:rsidRPr="00BF64E8" w:rsidRDefault="00C86C21" w:rsidP="00C86C21">
      <w:pPr>
        <w:pStyle w:val="Nadpis1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7" w:name="_Toc14270575"/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V</w:t>
      </w:r>
      <w:r w:rsidR="00BF64E8"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ztah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projektu</w:t>
      </w:r>
      <w:r w:rsidR="00BF64E8"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k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 dotačním možnostem a k </w:t>
      </w:r>
      <w:r w:rsidR="00BF64E8"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ostatním připravovaných akcím města</w:t>
      </w:r>
      <w:bookmarkEnd w:id="7"/>
    </w:p>
    <w:p w:rsidR="00C86C21" w:rsidRPr="00C86C21" w:rsidRDefault="00C86C21" w:rsidP="00C86C21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8" w:name="_Toc14270576"/>
      <w:r w:rsidRPr="00C86C2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Dotace</w:t>
      </w:r>
      <w:bookmarkEnd w:id="8"/>
      <w:r w:rsidRPr="00C86C2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</w:t>
      </w:r>
    </w:p>
    <w:p w:rsidR="0094711F" w:rsidRDefault="00BF64E8" w:rsidP="00C86C21">
      <w:pPr>
        <w:jc w:val="both"/>
        <w:rPr>
          <w:lang w:eastAsia="cs-CZ"/>
        </w:rPr>
      </w:pPr>
      <w:r w:rsidRPr="00BF64E8">
        <w:rPr>
          <w:lang w:eastAsia="cs-CZ"/>
        </w:rPr>
        <w:t>S</w:t>
      </w:r>
      <w:r w:rsidR="0094711F">
        <w:rPr>
          <w:lang w:eastAsia="cs-CZ"/>
        </w:rPr>
        <w:t> </w:t>
      </w:r>
      <w:r w:rsidRPr="00BF64E8">
        <w:rPr>
          <w:lang w:eastAsia="cs-CZ"/>
        </w:rPr>
        <w:t>využitím</w:t>
      </w:r>
      <w:r w:rsidR="0094711F">
        <w:rPr>
          <w:lang w:eastAsia="cs-CZ"/>
        </w:rPr>
        <w:t xml:space="preserve"> pravidelné </w:t>
      </w:r>
      <w:r w:rsidRPr="00BF64E8">
        <w:rPr>
          <w:lang w:eastAsia="cs-CZ"/>
        </w:rPr>
        <w:t xml:space="preserve">dotace </w:t>
      </w:r>
      <w:r w:rsidR="0094711F">
        <w:rPr>
          <w:lang w:eastAsia="cs-CZ"/>
        </w:rPr>
        <w:t xml:space="preserve">z Programu regenerace poskytované </w:t>
      </w:r>
      <w:r w:rsidRPr="00BF64E8">
        <w:rPr>
          <w:lang w:eastAsia="cs-CZ"/>
        </w:rPr>
        <w:t>M</w:t>
      </w:r>
      <w:r w:rsidR="0094711F">
        <w:rPr>
          <w:lang w:eastAsia="cs-CZ"/>
        </w:rPr>
        <w:t>inisterstvem kultury ČR</w:t>
      </w:r>
      <w:r w:rsidRPr="00BF64E8">
        <w:rPr>
          <w:lang w:eastAsia="cs-CZ"/>
        </w:rPr>
        <w:t xml:space="preserve"> </w:t>
      </w:r>
      <w:r w:rsidR="0094711F">
        <w:rPr>
          <w:lang w:eastAsia="cs-CZ"/>
        </w:rPr>
        <w:t>(MK ČR) lze realizovat zbývající část</w:t>
      </w:r>
      <w:r w:rsidRPr="00BF64E8">
        <w:rPr>
          <w:lang w:eastAsia="cs-CZ"/>
        </w:rPr>
        <w:t xml:space="preserve"> </w:t>
      </w:r>
      <w:r w:rsidR="0094711F">
        <w:rPr>
          <w:lang w:eastAsia="cs-CZ"/>
        </w:rPr>
        <w:t>fasády a nová tři ocelová okna na západní straně radnice.</w:t>
      </w:r>
    </w:p>
    <w:p w:rsidR="0094711F" w:rsidRDefault="00BF64E8" w:rsidP="00C86C21">
      <w:pPr>
        <w:jc w:val="both"/>
        <w:rPr>
          <w:lang w:eastAsia="cs-CZ"/>
        </w:rPr>
      </w:pPr>
      <w:r w:rsidRPr="00BF64E8">
        <w:rPr>
          <w:lang w:eastAsia="cs-CZ"/>
        </w:rPr>
        <w:t>Prostřednictvím odboru</w:t>
      </w:r>
      <w:r w:rsidR="0094711F">
        <w:rPr>
          <w:lang w:eastAsia="cs-CZ"/>
        </w:rPr>
        <w:t xml:space="preserve"> rozvoje</w:t>
      </w:r>
      <w:r w:rsidRPr="00BF64E8">
        <w:rPr>
          <w:lang w:eastAsia="cs-CZ"/>
        </w:rPr>
        <w:t xml:space="preserve"> bylo požádáno o dotaci </w:t>
      </w:r>
      <w:r w:rsidR="0094711F">
        <w:rPr>
          <w:lang w:eastAsia="cs-CZ"/>
        </w:rPr>
        <w:t>Ministerstvo pro místní rozvoj ČR (</w:t>
      </w:r>
      <w:r w:rsidRPr="00BF64E8">
        <w:rPr>
          <w:lang w:eastAsia="cs-CZ"/>
        </w:rPr>
        <w:t xml:space="preserve">MMR </w:t>
      </w:r>
      <w:r w:rsidR="0094711F">
        <w:rPr>
          <w:lang w:eastAsia="cs-CZ"/>
        </w:rPr>
        <w:t xml:space="preserve">ČR) na realizaci </w:t>
      </w:r>
      <w:r w:rsidR="00C86C21" w:rsidRPr="00BF64E8">
        <w:rPr>
          <w:lang w:eastAsia="cs-CZ"/>
        </w:rPr>
        <w:t>bezbariérové</w:t>
      </w:r>
      <w:r w:rsidR="0094711F">
        <w:rPr>
          <w:lang w:eastAsia="cs-CZ"/>
        </w:rPr>
        <w:t xml:space="preserve"> trasy a výtah</w:t>
      </w:r>
      <w:r w:rsidRPr="00BF64E8">
        <w:rPr>
          <w:lang w:eastAsia="cs-CZ"/>
        </w:rPr>
        <w:t xml:space="preserve">. </w:t>
      </w:r>
    </w:p>
    <w:p w:rsidR="00BF64E8" w:rsidRPr="00C86C21" w:rsidRDefault="008F66BD" w:rsidP="00C86C21">
      <w:pPr>
        <w:jc w:val="both"/>
        <w:rPr>
          <w:lang w:eastAsia="cs-CZ"/>
        </w:rPr>
      </w:pPr>
      <w:r>
        <w:rPr>
          <w:lang w:eastAsia="cs-CZ"/>
        </w:rPr>
        <w:t xml:space="preserve">Dotace z MMR ČR ve výši 3,029 mil. Kč je potvrzena. </w:t>
      </w:r>
      <w:r w:rsidR="00BF64E8" w:rsidRPr="00BF64E8">
        <w:rPr>
          <w:lang w:eastAsia="cs-CZ"/>
        </w:rPr>
        <w:t>Žádosti o dotace pro rok 2020 z</w:t>
      </w:r>
      <w:r>
        <w:rPr>
          <w:lang w:eastAsia="cs-CZ"/>
        </w:rPr>
        <w:t> MK ČR</w:t>
      </w:r>
      <w:r w:rsidR="00BF64E8" w:rsidRPr="00BF64E8">
        <w:rPr>
          <w:lang w:eastAsia="cs-CZ"/>
        </w:rPr>
        <w:t xml:space="preserve"> se předkládají do konce</w:t>
      </w:r>
      <w:r>
        <w:rPr>
          <w:lang w:eastAsia="cs-CZ"/>
        </w:rPr>
        <w:t xml:space="preserve"> listopadu 2019. Z částky, kterou město obdrží (v letošním roce to bylo 1,93 mil. Kč) může zastupitelstvo stanovit, kolik poskytne na budovu radnice.</w:t>
      </w:r>
    </w:p>
    <w:p w:rsidR="00C86C21" w:rsidRPr="00BF64E8" w:rsidRDefault="00C86C21" w:rsidP="00C86C21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9" w:name="_Toc14270577"/>
      <w:r w:rsidRPr="00C86C2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Ostatní </w:t>
      </w:r>
      <w:r w:rsidR="0007732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významné </w:t>
      </w:r>
      <w:r w:rsidRPr="00C86C2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rozvojové projekty měst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a</w:t>
      </w:r>
      <w:bookmarkEnd w:id="9"/>
    </w:p>
    <w:p w:rsidR="00E05C0D" w:rsidRPr="00E05C0D" w:rsidRDefault="00E05C0D" w:rsidP="00E05C0D">
      <w:pPr>
        <w:jc w:val="both"/>
        <w:rPr>
          <w:lang w:eastAsia="cs-CZ"/>
        </w:rPr>
      </w:pPr>
      <w:r w:rsidRPr="00E05C0D">
        <w:rPr>
          <w:lang w:eastAsia="cs-CZ"/>
        </w:rPr>
        <w:t xml:space="preserve">Při rozhodování by měl být brán zřetel i na další významné rozvojové projekty a priority města, a to především z hlediska dlouhodobého hlediska.  </w:t>
      </w:r>
    </w:p>
    <w:p w:rsidR="00BF64E8" w:rsidRPr="00E05C0D" w:rsidRDefault="00E05C0D" w:rsidP="00E05C0D">
      <w:pPr>
        <w:jc w:val="both"/>
        <w:rPr>
          <w:lang w:eastAsia="cs-CZ"/>
        </w:rPr>
      </w:pPr>
      <w:r w:rsidRPr="00E05C0D">
        <w:rPr>
          <w:lang w:eastAsia="cs-CZ"/>
        </w:rPr>
        <w:t>Viz samostatný materiál odboru rozvoje města předkládaný na stejné schůzi rady města.</w:t>
      </w:r>
    </w:p>
    <w:p w:rsidR="00BF64E8" w:rsidRPr="00BF64E8" w:rsidRDefault="00BF64E8" w:rsidP="00340E11">
      <w:pPr>
        <w:pStyle w:val="Nadpis1"/>
        <w:numPr>
          <w:ilvl w:val="0"/>
          <w:numId w:val="4"/>
        </w:numPr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0" w:name="_Toc14270578"/>
      <w:r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Varianty a možnosti dalšího postupu</w:t>
      </w:r>
      <w:bookmarkEnd w:id="10"/>
    </w:p>
    <w:p w:rsidR="00BF64E8" w:rsidRDefault="00BF64E8" w:rsidP="00077329">
      <w:pPr>
        <w:jc w:val="both"/>
        <w:rPr>
          <w:lang w:eastAsia="cs-CZ"/>
        </w:rPr>
      </w:pPr>
      <w:r w:rsidRPr="00BF64E8">
        <w:rPr>
          <w:lang w:eastAsia="cs-CZ"/>
        </w:rPr>
        <w:t>S ohledem na stav</w:t>
      </w:r>
      <w:r w:rsidR="0094711F">
        <w:rPr>
          <w:lang w:eastAsia="cs-CZ"/>
        </w:rPr>
        <w:t xml:space="preserve"> d</w:t>
      </w:r>
      <w:r w:rsidR="00143FE0">
        <w:rPr>
          <w:lang w:eastAsia="cs-CZ"/>
        </w:rPr>
        <w:t xml:space="preserve">osud neopravené fasády objektu, nepřístupnost </w:t>
      </w:r>
      <w:r w:rsidR="0094711F">
        <w:rPr>
          <w:lang w:eastAsia="cs-CZ"/>
        </w:rPr>
        <w:t>objektu</w:t>
      </w:r>
      <w:r w:rsidR="00143FE0">
        <w:rPr>
          <w:lang w:eastAsia="cs-CZ"/>
        </w:rPr>
        <w:t xml:space="preserve"> pro handicapované</w:t>
      </w:r>
      <w:r w:rsidR="0094711F">
        <w:rPr>
          <w:lang w:eastAsia="cs-CZ"/>
        </w:rPr>
        <w:t xml:space="preserve">, </w:t>
      </w:r>
      <w:r w:rsidRPr="00BF64E8">
        <w:rPr>
          <w:lang w:eastAsia="cs-CZ"/>
        </w:rPr>
        <w:t xml:space="preserve">stav </w:t>
      </w:r>
      <w:r w:rsidR="00143FE0">
        <w:rPr>
          <w:lang w:eastAsia="cs-CZ"/>
        </w:rPr>
        <w:t xml:space="preserve">technologických </w:t>
      </w:r>
      <w:r w:rsidR="000C7C98">
        <w:rPr>
          <w:lang w:eastAsia="cs-CZ"/>
        </w:rPr>
        <w:t>instalací a sociálních</w:t>
      </w:r>
      <w:r w:rsidRPr="00BF64E8">
        <w:rPr>
          <w:lang w:eastAsia="cs-CZ"/>
        </w:rPr>
        <w:t xml:space="preserve"> zařízení je vhodné v započatých úpravách v letech 2017 a 2018 pokračovat. V zásadě </w:t>
      </w:r>
      <w:r w:rsidR="00077329" w:rsidRPr="00BF64E8">
        <w:rPr>
          <w:lang w:eastAsia="cs-CZ"/>
        </w:rPr>
        <w:t>existují</w:t>
      </w:r>
      <w:r w:rsidRPr="00BF64E8">
        <w:rPr>
          <w:lang w:eastAsia="cs-CZ"/>
        </w:rPr>
        <w:t xml:space="preserve"> jen 2 </w:t>
      </w:r>
      <w:r w:rsidR="000C7C98">
        <w:rPr>
          <w:lang w:eastAsia="cs-CZ"/>
        </w:rPr>
        <w:t xml:space="preserve">hlavní </w:t>
      </w:r>
      <w:r w:rsidRPr="00BF64E8">
        <w:rPr>
          <w:lang w:eastAsia="cs-CZ"/>
        </w:rPr>
        <w:t>varianty řešení a to:</w:t>
      </w:r>
    </w:p>
    <w:p w:rsidR="00E67719" w:rsidRDefault="00E67719" w:rsidP="00077329">
      <w:pPr>
        <w:jc w:val="both"/>
        <w:rPr>
          <w:lang w:eastAsia="cs-CZ"/>
        </w:rPr>
      </w:pPr>
    </w:p>
    <w:p w:rsidR="00077329" w:rsidRPr="00865072" w:rsidRDefault="00077329" w:rsidP="005557E5">
      <w:pPr>
        <w:pStyle w:val="Nadpis2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1" w:name="_Toc14270579"/>
      <w:r w:rsidRPr="00865072">
        <w:rPr>
          <w:rFonts w:asciiTheme="minorHAnsi" w:hAnsiTheme="minorHAnsi" w:cstheme="minorHAnsi"/>
          <w:b/>
          <w:bCs/>
          <w:color w:val="auto"/>
          <w:sz w:val="24"/>
          <w:szCs w:val="24"/>
          <w:lang w:eastAsia="cs-CZ"/>
        </w:rPr>
        <w:t>VARIANTA 1</w:t>
      </w:r>
      <w:bookmarkEnd w:id="11"/>
    </w:p>
    <w:p w:rsidR="00BF64E8" w:rsidRDefault="00BF64E8" w:rsidP="00077329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077329">
        <w:rPr>
          <w:b/>
          <w:bCs/>
          <w:lang w:eastAsia="cs-CZ"/>
        </w:rPr>
        <w:t>Rekonstrukci realizovat postupně</w:t>
      </w:r>
      <w:r w:rsidRPr="00BF64E8">
        <w:rPr>
          <w:lang w:eastAsia="cs-CZ"/>
        </w:rPr>
        <w:t xml:space="preserve">. </w:t>
      </w:r>
      <w:r w:rsidR="00077329">
        <w:rPr>
          <w:lang w:eastAsia="cs-CZ"/>
        </w:rPr>
        <w:t>V roce 2020</w:t>
      </w:r>
      <w:r w:rsidRPr="00BF64E8">
        <w:rPr>
          <w:lang w:eastAsia="cs-CZ"/>
        </w:rPr>
        <w:t xml:space="preserve"> realizovat výtah a </w:t>
      </w:r>
      <w:r w:rsidR="00077329" w:rsidRPr="00BF64E8">
        <w:rPr>
          <w:lang w:eastAsia="cs-CZ"/>
        </w:rPr>
        <w:t>bezbariérové</w:t>
      </w:r>
      <w:r w:rsidRPr="00BF64E8">
        <w:rPr>
          <w:lang w:eastAsia="cs-CZ"/>
        </w:rPr>
        <w:t xml:space="preserve"> úpravy, spolu s dokončením obnovy fasády. Ostatní </w:t>
      </w:r>
      <w:r w:rsidR="00077329">
        <w:rPr>
          <w:lang w:eastAsia="cs-CZ"/>
        </w:rPr>
        <w:t xml:space="preserve">stavební </w:t>
      </w:r>
      <w:r w:rsidRPr="00BF64E8">
        <w:rPr>
          <w:lang w:eastAsia="cs-CZ"/>
        </w:rPr>
        <w:t xml:space="preserve">práce realizovat </w:t>
      </w:r>
      <w:r w:rsidR="00077329">
        <w:rPr>
          <w:lang w:eastAsia="cs-CZ"/>
        </w:rPr>
        <w:t xml:space="preserve">po roce 2020 </w:t>
      </w:r>
      <w:r w:rsidRPr="00BF64E8">
        <w:rPr>
          <w:lang w:eastAsia="cs-CZ"/>
        </w:rPr>
        <w:t xml:space="preserve">po </w:t>
      </w:r>
      <w:r w:rsidR="00077329" w:rsidRPr="00BF64E8">
        <w:rPr>
          <w:lang w:eastAsia="cs-CZ"/>
        </w:rPr>
        <w:t>dosažení “</w:t>
      </w:r>
      <w:r w:rsidRPr="00BF64E8">
        <w:rPr>
          <w:lang w:eastAsia="cs-CZ"/>
        </w:rPr>
        <w:t xml:space="preserve">neudržitelného" </w:t>
      </w:r>
      <w:r w:rsidR="00077329" w:rsidRPr="00BF64E8">
        <w:rPr>
          <w:lang w:eastAsia="cs-CZ"/>
        </w:rPr>
        <w:t>stavu – sociální</w:t>
      </w:r>
      <w:r w:rsidR="000C7C98">
        <w:rPr>
          <w:lang w:eastAsia="cs-CZ"/>
        </w:rPr>
        <w:t>ho</w:t>
      </w:r>
      <w:r w:rsidRPr="00BF64E8">
        <w:rPr>
          <w:lang w:eastAsia="cs-CZ"/>
        </w:rPr>
        <w:t xml:space="preserve"> zázemí v </w:t>
      </w:r>
      <w:r w:rsidR="00077329" w:rsidRPr="00BF64E8">
        <w:rPr>
          <w:lang w:eastAsia="cs-CZ"/>
        </w:rPr>
        <w:t>jednotlivých</w:t>
      </w:r>
      <w:r w:rsidRPr="00BF64E8">
        <w:rPr>
          <w:lang w:eastAsia="cs-CZ"/>
        </w:rPr>
        <w:t xml:space="preserve"> podlažích, </w:t>
      </w:r>
      <w:r w:rsidR="00077329">
        <w:rPr>
          <w:lang w:eastAsia="cs-CZ"/>
        </w:rPr>
        <w:t xml:space="preserve">případně </w:t>
      </w:r>
      <w:r w:rsidRPr="00BF64E8">
        <w:rPr>
          <w:lang w:eastAsia="cs-CZ"/>
        </w:rPr>
        <w:t>koteln</w:t>
      </w:r>
      <w:r w:rsidR="00077329">
        <w:rPr>
          <w:lang w:eastAsia="cs-CZ"/>
        </w:rPr>
        <w:t>y</w:t>
      </w:r>
      <w:r w:rsidRPr="00BF64E8">
        <w:rPr>
          <w:lang w:eastAsia="cs-CZ"/>
        </w:rPr>
        <w:t xml:space="preserve">, </w:t>
      </w:r>
      <w:r w:rsidR="00077329" w:rsidRPr="00BF64E8">
        <w:rPr>
          <w:lang w:eastAsia="cs-CZ"/>
        </w:rPr>
        <w:t>elektroinstalace</w:t>
      </w:r>
      <w:r w:rsidRPr="00BF64E8">
        <w:rPr>
          <w:lang w:eastAsia="cs-CZ"/>
        </w:rPr>
        <w:t xml:space="preserve">, </w:t>
      </w:r>
      <w:r w:rsidR="00077329">
        <w:rPr>
          <w:lang w:eastAsia="cs-CZ"/>
        </w:rPr>
        <w:t xml:space="preserve">či prostor </w:t>
      </w:r>
      <w:r w:rsidRPr="00BF64E8">
        <w:rPr>
          <w:lang w:eastAsia="cs-CZ"/>
        </w:rPr>
        <w:t>městsk</w:t>
      </w:r>
      <w:r w:rsidR="00077329">
        <w:rPr>
          <w:lang w:eastAsia="cs-CZ"/>
        </w:rPr>
        <w:t>é</w:t>
      </w:r>
      <w:r w:rsidRPr="00BF64E8">
        <w:rPr>
          <w:lang w:eastAsia="cs-CZ"/>
        </w:rPr>
        <w:t xml:space="preserve"> policie</w:t>
      </w:r>
      <w:r w:rsidR="00077329">
        <w:rPr>
          <w:lang w:eastAsia="cs-CZ"/>
        </w:rPr>
        <w:t xml:space="preserve"> a archivů.</w:t>
      </w:r>
    </w:p>
    <w:p w:rsidR="00865072" w:rsidRPr="00BF64E8" w:rsidRDefault="00865072" w:rsidP="00865072">
      <w:p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Část 1 - Stavební úpravy radnice v </w:t>
      </w:r>
      <w:proofErr w:type="spellStart"/>
      <w:r w:rsidR="005C11FD" w:rsidRPr="00BF64E8">
        <w:rPr>
          <w:lang w:eastAsia="cs-CZ"/>
        </w:rPr>
        <w:t>Příboře</w:t>
      </w:r>
      <w:proofErr w:type="spellEnd"/>
      <w:r w:rsidR="005C11FD" w:rsidRPr="00BF64E8">
        <w:rPr>
          <w:lang w:eastAsia="cs-CZ"/>
        </w:rPr>
        <w:t xml:space="preserve"> – II</w:t>
      </w:r>
      <w:r w:rsidRPr="00BF64E8">
        <w:rPr>
          <w:lang w:eastAsia="cs-CZ"/>
        </w:rPr>
        <w:t xml:space="preserve">. </w:t>
      </w:r>
      <w:r w:rsidR="005C11FD" w:rsidRPr="00BF64E8">
        <w:rPr>
          <w:lang w:eastAsia="cs-CZ"/>
        </w:rPr>
        <w:t>etapa – fasáda</w:t>
      </w:r>
      <w:r w:rsidRPr="00BF64E8">
        <w:rPr>
          <w:lang w:eastAsia="cs-CZ"/>
        </w:rPr>
        <w:t xml:space="preserve"> nádvoří a obnova kovových oken</w:t>
      </w:r>
    </w:p>
    <w:p w:rsidR="00865072" w:rsidRPr="00BF64E8" w:rsidRDefault="00865072" w:rsidP="0086507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 xml:space="preserve">Komplexní dokončení obnovy fasády </w:t>
      </w:r>
      <w:r w:rsidR="005C11FD" w:rsidRPr="00BF64E8">
        <w:rPr>
          <w:lang w:eastAsia="cs-CZ"/>
        </w:rPr>
        <w:t>památky – nádvoří</w:t>
      </w:r>
    </w:p>
    <w:p w:rsidR="00865072" w:rsidRPr="00BF64E8" w:rsidRDefault="00865072" w:rsidP="0086507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 xml:space="preserve">Obnova 3 ks ocelových oken (finanční odbor a rada města; profily </w:t>
      </w:r>
      <w:proofErr w:type="spellStart"/>
      <w:r w:rsidR="005C11FD" w:rsidRPr="00BF64E8">
        <w:rPr>
          <w:lang w:eastAsia="cs-CZ"/>
        </w:rPr>
        <w:t>Ja</w:t>
      </w:r>
      <w:r w:rsidR="005C11FD">
        <w:rPr>
          <w:lang w:eastAsia="cs-CZ"/>
        </w:rPr>
        <w:t>n</w:t>
      </w:r>
      <w:r w:rsidR="005C11FD" w:rsidRPr="00BF64E8">
        <w:rPr>
          <w:lang w:eastAsia="cs-CZ"/>
        </w:rPr>
        <w:t>sen</w:t>
      </w:r>
      <w:proofErr w:type="spellEnd"/>
      <w:r w:rsidRPr="00BF64E8">
        <w:rPr>
          <w:lang w:eastAsia="cs-CZ"/>
        </w:rPr>
        <w:t xml:space="preserve"> </w:t>
      </w:r>
      <w:proofErr w:type="spellStart"/>
      <w:r w:rsidRPr="00BF64E8">
        <w:rPr>
          <w:lang w:eastAsia="cs-CZ"/>
        </w:rPr>
        <w:t>Janisol</w:t>
      </w:r>
      <w:proofErr w:type="spellEnd"/>
      <w:r w:rsidRPr="00BF64E8">
        <w:rPr>
          <w:lang w:eastAsia="cs-CZ"/>
        </w:rPr>
        <w:t xml:space="preserve"> </w:t>
      </w:r>
      <w:proofErr w:type="spellStart"/>
      <w:r w:rsidRPr="00BF64E8">
        <w:rPr>
          <w:lang w:eastAsia="cs-CZ"/>
        </w:rPr>
        <w:t>Arte</w:t>
      </w:r>
      <w:proofErr w:type="spellEnd"/>
      <w:r w:rsidRPr="00BF64E8">
        <w:rPr>
          <w:lang w:eastAsia="cs-CZ"/>
        </w:rPr>
        <w:t>)</w:t>
      </w:r>
    </w:p>
    <w:p w:rsidR="00865072" w:rsidRPr="00BF64E8" w:rsidRDefault="00865072" w:rsidP="0086507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Odstranění přístřešku ve dvorní části</w:t>
      </w:r>
    </w:p>
    <w:p w:rsidR="00865072" w:rsidRPr="00BF64E8" w:rsidRDefault="00865072" w:rsidP="0086507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 xml:space="preserve">Úprava plochy nádvoří a </w:t>
      </w:r>
      <w:r w:rsidR="0094711F">
        <w:rPr>
          <w:lang w:eastAsia="cs-CZ"/>
        </w:rPr>
        <w:t xml:space="preserve">vytvoření nového </w:t>
      </w:r>
      <w:r w:rsidRPr="00BF64E8">
        <w:rPr>
          <w:lang w:eastAsia="cs-CZ"/>
        </w:rPr>
        <w:t>přístup</w:t>
      </w:r>
      <w:r w:rsidR="0094711F">
        <w:rPr>
          <w:lang w:eastAsia="cs-CZ"/>
        </w:rPr>
        <w:t>u</w:t>
      </w:r>
      <w:r w:rsidRPr="00BF64E8">
        <w:rPr>
          <w:lang w:eastAsia="cs-CZ"/>
        </w:rPr>
        <w:t xml:space="preserve"> do objektu radnice</w:t>
      </w:r>
    </w:p>
    <w:p w:rsidR="00865072" w:rsidRPr="00BF64E8" w:rsidRDefault="00865072" w:rsidP="00865072">
      <w:p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Část 2 - Stavební úpravy radnice v </w:t>
      </w:r>
      <w:proofErr w:type="spellStart"/>
      <w:r w:rsidR="005C11FD" w:rsidRPr="00BF64E8">
        <w:rPr>
          <w:lang w:eastAsia="cs-CZ"/>
        </w:rPr>
        <w:t>Příboře</w:t>
      </w:r>
      <w:proofErr w:type="spellEnd"/>
      <w:r w:rsidR="005C11FD" w:rsidRPr="00BF64E8">
        <w:rPr>
          <w:lang w:eastAsia="cs-CZ"/>
        </w:rPr>
        <w:t xml:space="preserve"> – II</w:t>
      </w:r>
      <w:r w:rsidRPr="00BF64E8">
        <w:rPr>
          <w:lang w:eastAsia="cs-CZ"/>
        </w:rPr>
        <w:t xml:space="preserve">. </w:t>
      </w:r>
      <w:r w:rsidR="005C11FD" w:rsidRPr="00BF64E8">
        <w:rPr>
          <w:lang w:eastAsia="cs-CZ"/>
        </w:rPr>
        <w:t>etapa – výtah</w:t>
      </w:r>
      <w:r w:rsidRPr="00BF64E8">
        <w:rPr>
          <w:lang w:eastAsia="cs-CZ"/>
        </w:rPr>
        <w:t xml:space="preserve"> a bezbariérové úpravy</w:t>
      </w:r>
    </w:p>
    <w:p w:rsidR="00865072" w:rsidRPr="00BF64E8" w:rsidRDefault="00865072" w:rsidP="0086507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Instalace venkovního výtahu</w:t>
      </w:r>
    </w:p>
    <w:p w:rsidR="00865072" w:rsidRPr="00BF64E8" w:rsidRDefault="00865072" w:rsidP="0086507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 xml:space="preserve">Úpravy pro bezbariérový pohyb v jednotlivých </w:t>
      </w:r>
      <w:r w:rsidR="005C11FD" w:rsidRPr="00BF64E8">
        <w:rPr>
          <w:lang w:eastAsia="cs-CZ"/>
        </w:rPr>
        <w:t>podlažích – pouze</w:t>
      </w:r>
      <w:r w:rsidRPr="00BF64E8">
        <w:rPr>
          <w:lang w:eastAsia="cs-CZ"/>
        </w:rPr>
        <w:t xml:space="preserve"> průchodnost podlaží bez úprav sociálních zařízení</w:t>
      </w:r>
    </w:p>
    <w:p w:rsidR="00865072" w:rsidRPr="00BF64E8" w:rsidRDefault="005C11FD" w:rsidP="0086507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Interiér – naváděcí</w:t>
      </w:r>
      <w:r w:rsidR="00865072" w:rsidRPr="00BF64E8">
        <w:rPr>
          <w:lang w:eastAsia="cs-CZ"/>
        </w:rPr>
        <w:t xml:space="preserve"> a orientační systém</w:t>
      </w:r>
    </w:p>
    <w:p w:rsidR="00865072" w:rsidRDefault="00865072" w:rsidP="00865072">
      <w:pPr>
        <w:spacing w:after="0" w:line="240" w:lineRule="atLeast"/>
        <w:jc w:val="both"/>
        <w:rPr>
          <w:lang w:eastAsia="cs-CZ"/>
        </w:rPr>
      </w:pPr>
    </w:p>
    <w:p w:rsidR="00293C0D" w:rsidRDefault="00865072" w:rsidP="00865072">
      <w:p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V tomto případě lze plánovat výstavbu pro rok 2020 se zahájením v II.</w:t>
      </w:r>
      <w:r>
        <w:rPr>
          <w:lang w:eastAsia="cs-CZ"/>
        </w:rPr>
        <w:t xml:space="preserve"> </w:t>
      </w:r>
      <w:r w:rsidRPr="00BF64E8">
        <w:rPr>
          <w:lang w:eastAsia="cs-CZ"/>
        </w:rPr>
        <w:t>čtvrtletí roku. Realizace může běžet za</w:t>
      </w:r>
      <w:r>
        <w:rPr>
          <w:lang w:eastAsia="cs-CZ"/>
        </w:rPr>
        <w:t xml:space="preserve"> </w:t>
      </w:r>
      <w:r w:rsidRPr="00BF64E8">
        <w:rPr>
          <w:lang w:eastAsia="cs-CZ"/>
        </w:rPr>
        <w:t>plného provozu radnice. Práce by probíhaly v zadním traktu budovy. Omezení chodu radnice by spočívalo ve zvýšené hlučnosti a prašnosti z</w:t>
      </w:r>
      <w:r w:rsidR="00C26C1C">
        <w:rPr>
          <w:lang w:eastAsia="cs-CZ"/>
        </w:rPr>
        <w:t>e</w:t>
      </w:r>
      <w:r w:rsidRPr="00BF64E8">
        <w:rPr>
          <w:lang w:eastAsia="cs-CZ"/>
        </w:rPr>
        <w:t xml:space="preserve"> stavby. </w:t>
      </w:r>
      <w:r w:rsidR="00E05C0D">
        <w:rPr>
          <w:lang w:eastAsia="cs-CZ"/>
        </w:rPr>
        <w:t xml:space="preserve">Převážná část prací by se mohla uskutečnit na </w:t>
      </w:r>
      <w:r w:rsidR="00E05C0D">
        <w:rPr>
          <w:lang w:eastAsia="cs-CZ"/>
        </w:rPr>
        <w:lastRenderedPageBreak/>
        <w:t xml:space="preserve">samostatných pracovištích fyzicky oddělených od provozu radnice. Část prací by však musela být realizována přímo na chodbách radnice. Tyto práce lze naplánovat na víkendové dny. </w:t>
      </w:r>
    </w:p>
    <w:p w:rsidR="000C7C98" w:rsidRDefault="000C7C98" w:rsidP="00865072">
      <w:pPr>
        <w:spacing w:after="0" w:line="240" w:lineRule="atLeast"/>
        <w:jc w:val="both"/>
        <w:rPr>
          <w:lang w:eastAsia="cs-CZ"/>
        </w:rPr>
      </w:pPr>
      <w:r w:rsidRPr="000C7C98">
        <w:rPr>
          <w:b/>
          <w:lang w:eastAsia="cs-CZ"/>
        </w:rPr>
        <w:t>Pozn:</w:t>
      </w:r>
      <w:r>
        <w:rPr>
          <w:lang w:eastAsia="cs-CZ"/>
        </w:rPr>
        <w:t xml:space="preserve"> I tento způsob provádění stavebních úprav bude mít negativní vliv na provoz radnice. I přes veškerá technická opatření nebude možné zabezpečit nulovou prašnost a absenci hluku. A rovněž částečné křížení provozu stavby s provozem úřadu.</w:t>
      </w:r>
    </w:p>
    <w:p w:rsidR="00293C0D" w:rsidRDefault="00293C0D" w:rsidP="00865072">
      <w:pPr>
        <w:spacing w:after="0" w:line="240" w:lineRule="atLeast"/>
        <w:jc w:val="both"/>
        <w:rPr>
          <w:lang w:eastAsia="cs-CZ"/>
        </w:rPr>
      </w:pPr>
    </w:p>
    <w:p w:rsidR="00865072" w:rsidRPr="00BF64E8" w:rsidRDefault="00865072" w:rsidP="00865072">
      <w:p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 xml:space="preserve">Proběhlo by 1 výběrové řízení na dodavatele stavby, který by fakturoval odděleně pro zdroje ministerstva </w:t>
      </w:r>
      <w:r w:rsidR="001A21F9" w:rsidRPr="00BF64E8">
        <w:rPr>
          <w:lang w:eastAsia="cs-CZ"/>
        </w:rPr>
        <w:t>kultury a</w:t>
      </w:r>
      <w:r w:rsidRPr="00BF64E8">
        <w:rPr>
          <w:lang w:eastAsia="cs-CZ"/>
        </w:rPr>
        <w:t xml:space="preserve"> ministerstva </w:t>
      </w:r>
      <w:r w:rsidR="00C26C1C" w:rsidRPr="00BF64E8">
        <w:rPr>
          <w:lang w:eastAsia="cs-CZ"/>
        </w:rPr>
        <w:t>pro místní</w:t>
      </w:r>
      <w:r w:rsidRPr="00BF64E8">
        <w:rPr>
          <w:lang w:eastAsia="cs-CZ"/>
        </w:rPr>
        <w:t xml:space="preserve"> rozvoj.</w:t>
      </w:r>
    </w:p>
    <w:p w:rsidR="00865072" w:rsidRDefault="00865072" w:rsidP="00865072">
      <w:pPr>
        <w:jc w:val="both"/>
        <w:rPr>
          <w:lang w:eastAsia="cs-CZ"/>
        </w:rPr>
      </w:pPr>
    </w:p>
    <w:p w:rsidR="00077329" w:rsidRPr="00BF64E8" w:rsidRDefault="00077329" w:rsidP="005557E5">
      <w:pPr>
        <w:pStyle w:val="Nadpis2"/>
        <w:rPr>
          <w:rFonts w:asciiTheme="minorHAnsi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2" w:name="_Toc14270580"/>
      <w:r w:rsidRPr="00865072">
        <w:rPr>
          <w:rFonts w:asciiTheme="minorHAnsi" w:hAnsiTheme="minorHAnsi" w:cstheme="minorHAnsi"/>
          <w:b/>
          <w:bCs/>
          <w:color w:val="auto"/>
          <w:sz w:val="24"/>
          <w:szCs w:val="24"/>
          <w:lang w:eastAsia="cs-CZ"/>
        </w:rPr>
        <w:t>VARIANTA 2</w:t>
      </w:r>
      <w:bookmarkEnd w:id="12"/>
    </w:p>
    <w:p w:rsidR="00BF64E8" w:rsidRDefault="00BF64E8" w:rsidP="00077329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BF64E8">
        <w:rPr>
          <w:b/>
          <w:bCs/>
          <w:lang w:eastAsia="cs-CZ"/>
        </w:rPr>
        <w:t>Rekonstrukci realizovat najednou</w:t>
      </w:r>
      <w:r w:rsidR="00293C0D">
        <w:rPr>
          <w:b/>
          <w:bCs/>
          <w:lang w:eastAsia="cs-CZ"/>
        </w:rPr>
        <w:t>.</w:t>
      </w:r>
      <w:r w:rsidRPr="00BF64E8">
        <w:rPr>
          <w:lang w:eastAsia="cs-CZ"/>
        </w:rPr>
        <w:t xml:space="preserve"> </w:t>
      </w:r>
    </w:p>
    <w:p w:rsidR="00865072" w:rsidRPr="00BF64E8" w:rsidRDefault="00865072" w:rsidP="00865072">
      <w:pPr>
        <w:spacing w:after="0" w:line="240" w:lineRule="atLeast"/>
        <w:jc w:val="both"/>
        <w:rPr>
          <w:lang w:eastAsia="cs-CZ"/>
        </w:rPr>
      </w:pPr>
      <w:r w:rsidRPr="00BF64E8">
        <w:rPr>
          <w:lang w:eastAsia="cs-CZ"/>
        </w:rPr>
        <w:t>V tomto případě je</w:t>
      </w:r>
      <w:r w:rsidR="00293C0D">
        <w:rPr>
          <w:lang w:eastAsia="cs-CZ"/>
        </w:rPr>
        <w:t>, kromě zabezpečení finančních prostředků,</w:t>
      </w:r>
      <w:r w:rsidRPr="00BF64E8">
        <w:rPr>
          <w:lang w:eastAsia="cs-CZ"/>
        </w:rPr>
        <w:t xml:space="preserve"> zásadní otázkou provoz úřadu po dobu realizace stavby. Po zkušenostech s poslední rekonstrukcí radnice, a to zejména z hlediska hluku a prašnosti, je nutno ko</w:t>
      </w:r>
      <w:r>
        <w:rPr>
          <w:lang w:eastAsia="cs-CZ"/>
        </w:rPr>
        <w:t>ns</w:t>
      </w:r>
      <w:r w:rsidRPr="00BF64E8">
        <w:rPr>
          <w:lang w:eastAsia="cs-CZ"/>
        </w:rPr>
        <w:t>tatov</w:t>
      </w:r>
      <w:r>
        <w:rPr>
          <w:lang w:eastAsia="cs-CZ"/>
        </w:rPr>
        <w:t>a</w:t>
      </w:r>
      <w:r w:rsidRPr="00BF64E8">
        <w:rPr>
          <w:lang w:eastAsia="cs-CZ"/>
        </w:rPr>
        <w:t>t, že rekonstrukce za provozu není možná. Pro realizaci je nutno uvolnit prostory kanceláří (instalace no</w:t>
      </w:r>
      <w:r w:rsidR="00C918BE">
        <w:rPr>
          <w:lang w:eastAsia="cs-CZ"/>
        </w:rPr>
        <w:t>vých zásuvkových obvodů a světel</w:t>
      </w:r>
      <w:r w:rsidR="00293C0D">
        <w:rPr>
          <w:lang w:eastAsia="cs-CZ"/>
        </w:rPr>
        <w:t>, obnova podlah, výmalby,….</w:t>
      </w:r>
      <w:r w:rsidRPr="00BF64E8">
        <w:rPr>
          <w:lang w:eastAsia="cs-CZ"/>
        </w:rPr>
        <w:t>)</w:t>
      </w:r>
      <w:r w:rsidR="00293C0D">
        <w:rPr>
          <w:lang w:eastAsia="cs-CZ"/>
        </w:rPr>
        <w:t xml:space="preserve"> a taktéž by bylo nemožné</w:t>
      </w:r>
      <w:r>
        <w:rPr>
          <w:lang w:eastAsia="cs-CZ"/>
        </w:rPr>
        <w:t xml:space="preserve"> zajistit pro zaměstnance </w:t>
      </w:r>
      <w:r w:rsidR="00293C0D">
        <w:rPr>
          <w:lang w:eastAsia="cs-CZ"/>
        </w:rPr>
        <w:t xml:space="preserve">i návštěvníky úřadu </w:t>
      </w:r>
      <w:r>
        <w:rPr>
          <w:lang w:eastAsia="cs-CZ"/>
        </w:rPr>
        <w:t xml:space="preserve">příslušné hygienické </w:t>
      </w:r>
      <w:r w:rsidR="00C918BE">
        <w:rPr>
          <w:lang w:eastAsia="cs-CZ"/>
        </w:rPr>
        <w:t xml:space="preserve">a bezpečnostní </w:t>
      </w:r>
      <w:r>
        <w:rPr>
          <w:lang w:eastAsia="cs-CZ"/>
        </w:rPr>
        <w:t>podmínky</w:t>
      </w:r>
      <w:r w:rsidRPr="00BF64E8">
        <w:rPr>
          <w:lang w:eastAsia="cs-CZ"/>
        </w:rPr>
        <w:t>.</w:t>
      </w:r>
    </w:p>
    <w:p w:rsidR="001A21F9" w:rsidRDefault="001A21F9" w:rsidP="00077329">
      <w:pPr>
        <w:jc w:val="both"/>
        <w:rPr>
          <w:lang w:eastAsia="cs-CZ"/>
        </w:rPr>
      </w:pPr>
    </w:p>
    <w:p w:rsidR="00077329" w:rsidRDefault="00077329" w:rsidP="00077329">
      <w:pPr>
        <w:jc w:val="both"/>
        <w:rPr>
          <w:lang w:eastAsia="cs-CZ"/>
        </w:rPr>
      </w:pPr>
      <w:r>
        <w:rPr>
          <w:lang w:eastAsia="cs-CZ"/>
        </w:rPr>
        <w:t xml:space="preserve">Jak pro </w:t>
      </w:r>
      <w:r w:rsidR="00E27236">
        <w:rPr>
          <w:lang w:eastAsia="cs-CZ"/>
        </w:rPr>
        <w:t>V</w:t>
      </w:r>
      <w:r>
        <w:rPr>
          <w:lang w:eastAsia="cs-CZ"/>
        </w:rPr>
        <w:t>ariantu 1</w:t>
      </w:r>
      <w:r w:rsidR="00293C0D">
        <w:rPr>
          <w:lang w:eastAsia="cs-CZ"/>
        </w:rPr>
        <w:t>,</w:t>
      </w:r>
      <w:r>
        <w:rPr>
          <w:lang w:eastAsia="cs-CZ"/>
        </w:rPr>
        <w:t xml:space="preserve"> tak i pro </w:t>
      </w:r>
      <w:r w:rsidR="00E27236">
        <w:rPr>
          <w:lang w:eastAsia="cs-CZ"/>
        </w:rPr>
        <w:t>V</w:t>
      </w:r>
      <w:r>
        <w:rPr>
          <w:lang w:eastAsia="cs-CZ"/>
        </w:rPr>
        <w:t xml:space="preserve">ariantu 2 je nutno rozhodnout </w:t>
      </w:r>
      <w:r w:rsidR="00E27236">
        <w:rPr>
          <w:lang w:eastAsia="cs-CZ"/>
        </w:rPr>
        <w:t xml:space="preserve">o postupu </w:t>
      </w:r>
      <w:r>
        <w:rPr>
          <w:lang w:eastAsia="cs-CZ"/>
        </w:rPr>
        <w:t xml:space="preserve">co </w:t>
      </w:r>
      <w:r w:rsidR="00E27236">
        <w:rPr>
          <w:lang w:eastAsia="cs-CZ"/>
        </w:rPr>
        <w:t>nejdřív,</w:t>
      </w:r>
      <w:r>
        <w:rPr>
          <w:lang w:eastAsia="cs-CZ"/>
        </w:rPr>
        <w:t xml:space="preserve"> a to z důvodu, že výběrové řízení na dodavatele stavby musí být podloženo příslušnou zadávací dokumentací</w:t>
      </w:r>
      <w:r w:rsidR="00E27236">
        <w:rPr>
          <w:lang w:eastAsia="cs-CZ"/>
        </w:rPr>
        <w:t>,</w:t>
      </w:r>
      <w:r>
        <w:rPr>
          <w:lang w:eastAsia="cs-CZ"/>
        </w:rPr>
        <w:t xml:space="preserve"> a tat</w:t>
      </w:r>
      <w:r w:rsidR="00E27236">
        <w:rPr>
          <w:lang w:eastAsia="cs-CZ"/>
        </w:rPr>
        <w:t>o</w:t>
      </w:r>
      <w:r>
        <w:rPr>
          <w:lang w:eastAsia="cs-CZ"/>
        </w:rPr>
        <w:t xml:space="preserve"> je dnes zpracovaná pro stavbu jako jeden celek. Podle této dokumentace lze </w:t>
      </w:r>
      <w:r w:rsidR="00E27236">
        <w:rPr>
          <w:lang w:eastAsia="cs-CZ"/>
        </w:rPr>
        <w:t>provádět dílčí etapy, ovšem zpracovaná dokumentace musí být pro dílčí zadání zakázky upravena. K dílčím úpravám projektové dokumentace (struktury rozpočtu stavby) musí dojít i podle podmínek konkrétní dotace. Dalšími důvody pro</w:t>
      </w:r>
      <w:r w:rsidR="005557E5">
        <w:rPr>
          <w:lang w:eastAsia="cs-CZ"/>
        </w:rPr>
        <w:t xml:space="preserve"> co nejrychlejší </w:t>
      </w:r>
      <w:r w:rsidR="00E27236">
        <w:rPr>
          <w:lang w:eastAsia="cs-CZ"/>
        </w:rPr>
        <w:t>rozhodnutí o</w:t>
      </w:r>
      <w:r w:rsidR="00C907ED">
        <w:rPr>
          <w:lang w:eastAsia="cs-CZ"/>
        </w:rPr>
        <w:t xml:space="preserve"> z</w:t>
      </w:r>
      <w:r w:rsidR="00C918BE">
        <w:rPr>
          <w:lang w:eastAsia="cs-CZ"/>
        </w:rPr>
        <w:t>působu budoucí realizace jsou ty</w:t>
      </w:r>
      <w:r w:rsidR="00C907ED">
        <w:rPr>
          <w:lang w:eastAsia="cs-CZ"/>
        </w:rPr>
        <w:t>to skutečnosti:</w:t>
      </w:r>
    </w:p>
    <w:p w:rsidR="005557E5" w:rsidRDefault="00E27236" w:rsidP="005557E5">
      <w:pPr>
        <w:pStyle w:val="Odstavecseseznamem"/>
        <w:numPr>
          <w:ilvl w:val="0"/>
          <w:numId w:val="8"/>
        </w:numPr>
        <w:ind w:left="284" w:hanging="284"/>
        <w:jc w:val="both"/>
        <w:rPr>
          <w:lang w:eastAsia="cs-CZ"/>
        </w:rPr>
      </w:pPr>
      <w:r>
        <w:rPr>
          <w:lang w:eastAsia="cs-CZ"/>
        </w:rPr>
        <w:t>Čerpání dotací MK a MMR je limitováno realizací stavby v roce 2020</w:t>
      </w:r>
    </w:p>
    <w:p w:rsidR="005557E5" w:rsidRPr="0032156E" w:rsidRDefault="005557E5" w:rsidP="005557E5">
      <w:pPr>
        <w:pStyle w:val="Odstavecseseznamem"/>
        <w:numPr>
          <w:ilvl w:val="0"/>
          <w:numId w:val="8"/>
        </w:numPr>
        <w:ind w:left="284" w:hanging="284"/>
        <w:jc w:val="both"/>
        <w:rPr>
          <w:lang w:eastAsia="cs-CZ"/>
        </w:rPr>
      </w:pPr>
      <w:r w:rsidRPr="0032156E">
        <w:rPr>
          <w:lang w:eastAsia="cs-CZ"/>
        </w:rPr>
        <w:t xml:space="preserve">Otálení s rozhodnutím zastupitelstva města o způsobu realizace projektu či odložení tohoto rozhodnutí až na konec roku 2019 či začátek roku 2020 může mít dopad přípravu projektu a na možnost vyčerpání dotací pro rok 2020 </w:t>
      </w:r>
    </w:p>
    <w:p w:rsidR="00E27236" w:rsidRPr="0032156E" w:rsidRDefault="00E27236" w:rsidP="00E27236">
      <w:pPr>
        <w:pStyle w:val="Odstavecseseznamem"/>
        <w:numPr>
          <w:ilvl w:val="0"/>
          <w:numId w:val="8"/>
        </w:numPr>
        <w:ind w:left="284" w:hanging="284"/>
        <w:jc w:val="both"/>
        <w:rPr>
          <w:lang w:eastAsia="cs-CZ"/>
        </w:rPr>
      </w:pPr>
      <w:r w:rsidRPr="0032156E">
        <w:rPr>
          <w:lang w:eastAsia="cs-CZ"/>
        </w:rPr>
        <w:t>Pokud by byla stavba realizovaná podle Varianty 2, je nutno včas zabezpečit podmínky pro plynulý chod městského úřadu po dobu realizace stavebních úprav (vystěhování budovy radnice)</w:t>
      </w:r>
    </w:p>
    <w:p w:rsidR="00E27236" w:rsidRDefault="00E27236" w:rsidP="00E27236">
      <w:pPr>
        <w:pStyle w:val="Odstavecseseznamem"/>
        <w:numPr>
          <w:ilvl w:val="0"/>
          <w:numId w:val="8"/>
        </w:numPr>
        <w:ind w:left="284" w:hanging="284"/>
        <w:jc w:val="both"/>
        <w:rPr>
          <w:lang w:eastAsia="cs-CZ"/>
        </w:rPr>
      </w:pPr>
      <w:r w:rsidRPr="0032156E">
        <w:rPr>
          <w:lang w:eastAsia="cs-CZ"/>
        </w:rPr>
        <w:t>S ohledem na druh stavební</w:t>
      </w:r>
      <w:r>
        <w:rPr>
          <w:lang w:eastAsia="cs-CZ"/>
        </w:rPr>
        <w:t xml:space="preserve"> zakázky je žádoucí zahájit výběrové řízení na dodavatele co nejdříve</w:t>
      </w:r>
      <w:r w:rsidR="00C907ED">
        <w:rPr>
          <w:lang w:eastAsia="cs-CZ"/>
        </w:rPr>
        <w:t>. Zakázky vyhlašované před zimním obdobím, kdy ještě nemají stavební firmy na</w:t>
      </w:r>
      <w:r w:rsidR="001443FC">
        <w:rPr>
          <w:lang w:eastAsia="cs-CZ"/>
        </w:rPr>
        <w:t>plněný plán na příští období, mají</w:t>
      </w:r>
      <w:r w:rsidR="00C907ED">
        <w:rPr>
          <w:lang w:eastAsia="cs-CZ"/>
        </w:rPr>
        <w:t xml:space="preserve"> pro zadavatele přínos v nižších nabídkových cenách.</w:t>
      </w:r>
    </w:p>
    <w:p w:rsidR="00865072" w:rsidRPr="00BF64E8" w:rsidRDefault="00865072" w:rsidP="00865072">
      <w:pPr>
        <w:pStyle w:val="Nadpis1"/>
        <w:numPr>
          <w:ilvl w:val="0"/>
          <w:numId w:val="4"/>
        </w:numPr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3" w:name="_Toc14270581"/>
      <w:r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Doporučení dalšího postupu</w:t>
      </w:r>
      <w:bookmarkEnd w:id="13"/>
    </w:p>
    <w:p w:rsidR="001A21F9" w:rsidRDefault="001443FC" w:rsidP="00865072">
      <w:pPr>
        <w:jc w:val="both"/>
        <w:rPr>
          <w:lang w:eastAsia="cs-CZ"/>
        </w:rPr>
      </w:pPr>
      <w:r>
        <w:rPr>
          <w:lang w:eastAsia="cs-CZ"/>
        </w:rPr>
        <w:t>Odbory RM, ISM, BN</w:t>
      </w:r>
      <w:r w:rsidR="00865072" w:rsidRPr="00BF64E8">
        <w:rPr>
          <w:lang w:eastAsia="cs-CZ"/>
        </w:rPr>
        <w:t xml:space="preserve">F, </w:t>
      </w:r>
      <w:r>
        <w:rPr>
          <w:lang w:eastAsia="cs-CZ"/>
        </w:rPr>
        <w:t>OOSČ</w:t>
      </w:r>
      <w:r w:rsidR="00865072" w:rsidRPr="00BF64E8">
        <w:rPr>
          <w:lang w:eastAsia="cs-CZ"/>
        </w:rPr>
        <w:t xml:space="preserve"> a MP</w:t>
      </w:r>
      <w:r w:rsidR="00C907ED">
        <w:rPr>
          <w:lang w:eastAsia="cs-CZ"/>
        </w:rPr>
        <w:t xml:space="preserve"> na základě několika společných jednání</w:t>
      </w:r>
      <w:r w:rsidR="00865072" w:rsidRPr="00BF64E8">
        <w:rPr>
          <w:lang w:eastAsia="cs-CZ"/>
        </w:rPr>
        <w:t xml:space="preserve"> doporučují realizaci stavebních úprav radnice provést vcelku a najednou. Tento způsob realizace se je</w:t>
      </w:r>
      <w:r w:rsidR="00865072">
        <w:rPr>
          <w:lang w:eastAsia="cs-CZ"/>
        </w:rPr>
        <w:t xml:space="preserve">ví </w:t>
      </w:r>
      <w:r w:rsidR="00865072" w:rsidRPr="00BF64E8">
        <w:rPr>
          <w:lang w:eastAsia="cs-CZ"/>
        </w:rPr>
        <w:t xml:space="preserve">jako vhodnější </w:t>
      </w:r>
      <w:r w:rsidR="00C907ED">
        <w:rPr>
          <w:lang w:eastAsia="cs-CZ"/>
        </w:rPr>
        <w:t>jak z provozního hlediska, tak nepochybně i dlouhodobě finančního dopadu na rozpočet města.</w:t>
      </w:r>
    </w:p>
    <w:p w:rsidR="001A21F9" w:rsidRDefault="001A21F9" w:rsidP="001A21F9">
      <w:pPr>
        <w:pStyle w:val="Nadpis1"/>
        <w:numPr>
          <w:ilvl w:val="0"/>
          <w:numId w:val="4"/>
        </w:numPr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4" w:name="_Toc14270582"/>
      <w:r w:rsidRPr="001A21F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Problematika zabezpečení podmínek pro plynulý chod městského úřadu po dobu realizace stavebních úprav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– náhradní umístění pracovníků</w:t>
      </w:r>
      <w:bookmarkEnd w:id="14"/>
    </w:p>
    <w:p w:rsidR="00166A5C" w:rsidRDefault="00136F73" w:rsidP="00C26C1C">
      <w:pPr>
        <w:jc w:val="both"/>
        <w:rPr>
          <w:lang w:eastAsia="cs-CZ"/>
        </w:rPr>
      </w:pPr>
      <w:r>
        <w:rPr>
          <w:lang w:eastAsia="cs-CZ"/>
        </w:rPr>
        <w:t>Je nutno přestěhovat všechny pracovníky</w:t>
      </w:r>
      <w:r w:rsidR="00C26C1C">
        <w:rPr>
          <w:lang w:eastAsia="cs-CZ"/>
        </w:rPr>
        <w:t xml:space="preserve"> a k tomu zajistit přemístění jejich kancelářského zařízení. </w:t>
      </w:r>
    </w:p>
    <w:p w:rsidR="00E67719" w:rsidRDefault="00166A5C" w:rsidP="00C26C1C">
      <w:pPr>
        <w:jc w:val="both"/>
        <w:rPr>
          <w:lang w:eastAsia="cs-CZ"/>
        </w:rPr>
      </w:pPr>
      <w:r>
        <w:rPr>
          <w:lang w:eastAsia="cs-CZ"/>
        </w:rPr>
        <w:t>Z provozního hlediska při zachování co nejlepšího komfortu pro občany města se jako nejvhodnější</w:t>
      </w:r>
      <w:r w:rsidR="00C26C1C">
        <w:rPr>
          <w:lang w:eastAsia="cs-CZ"/>
        </w:rPr>
        <w:t xml:space="preserve"> jeví po dobu realizace stavebních úprav dočasně umístit </w:t>
      </w:r>
      <w:r>
        <w:rPr>
          <w:lang w:eastAsia="cs-CZ"/>
        </w:rPr>
        <w:t>převážnou většinu pracovníků do nově opravených prostor</w:t>
      </w:r>
      <w:r w:rsidR="00C26C1C">
        <w:rPr>
          <w:lang w:eastAsia="cs-CZ"/>
        </w:rPr>
        <w:t xml:space="preserve"> </w:t>
      </w:r>
      <w:r>
        <w:rPr>
          <w:lang w:eastAsia="cs-CZ"/>
        </w:rPr>
        <w:t>1.NP azylového domu. Toto</w:t>
      </w:r>
      <w:r w:rsidR="00C26C1C">
        <w:rPr>
          <w:lang w:eastAsia="cs-CZ"/>
        </w:rPr>
        <w:t xml:space="preserve"> řešení ne</w:t>
      </w:r>
      <w:r>
        <w:rPr>
          <w:lang w:eastAsia="cs-CZ"/>
        </w:rPr>
        <w:t xml:space="preserve">vyžaduje žádné stavební úpravy a nabízí vše potřebné pro činnost úřadu včetně zázemí (bezbariérový přístup, parkování, sociální zařízení). </w:t>
      </w:r>
      <w:r w:rsidR="00C26C1C">
        <w:rPr>
          <w:lang w:eastAsia="cs-CZ"/>
        </w:rPr>
        <w:t xml:space="preserve">Prostor </w:t>
      </w:r>
      <w:r w:rsidR="00C26C1C">
        <w:rPr>
          <w:lang w:eastAsia="cs-CZ"/>
        </w:rPr>
        <w:lastRenderedPageBreak/>
        <w:t>lz</w:t>
      </w:r>
      <w:r w:rsidR="00706437">
        <w:rPr>
          <w:lang w:eastAsia="cs-CZ"/>
        </w:rPr>
        <w:t xml:space="preserve">e k tomuto účelu přímo využít. </w:t>
      </w:r>
      <w:r w:rsidR="00C26C1C">
        <w:rPr>
          <w:lang w:eastAsia="cs-CZ"/>
        </w:rPr>
        <w:t>Finanční náročnost představuje náklady na stěhování.</w:t>
      </w:r>
      <w:r>
        <w:rPr>
          <w:lang w:eastAsia="cs-CZ"/>
        </w:rPr>
        <w:t xml:space="preserve"> Část úřadu (jeden odbor a městská policie) lze přemístit do dosud nevyužitých prostor č.p. 54 na Jičínské ulici (TIC). Zde by bylo potřeba provést několik menších stavebních úprav.</w:t>
      </w:r>
    </w:p>
    <w:p w:rsidR="00706437" w:rsidRDefault="00706437" w:rsidP="00C26C1C">
      <w:pPr>
        <w:jc w:val="both"/>
        <w:rPr>
          <w:lang w:eastAsia="cs-CZ"/>
        </w:rPr>
      </w:pPr>
      <w:r>
        <w:rPr>
          <w:lang w:eastAsia="cs-CZ"/>
        </w:rPr>
        <w:t xml:space="preserve">Tato omezení provozu městského úřadu se jeví v dlouhodobém horizontu jednoznačně výhodnější než další etapizace postupné rekonstrukce budovy radnice, která s sebou přinese zcela jistě vyšší režijní náklady a navýší i celkovou hodnotu rekonstrukce. </w:t>
      </w:r>
    </w:p>
    <w:p w:rsidR="001A21F9" w:rsidRDefault="00E67719" w:rsidP="00E67719">
      <w:pPr>
        <w:rPr>
          <w:lang w:eastAsia="cs-CZ"/>
        </w:rPr>
      </w:pPr>
      <w:r>
        <w:rPr>
          <w:lang w:eastAsia="cs-CZ"/>
        </w:rPr>
        <w:br w:type="page"/>
      </w:r>
    </w:p>
    <w:p w:rsidR="00BF64E8" w:rsidRDefault="00340E11" w:rsidP="00340E11">
      <w:pPr>
        <w:pStyle w:val="Nadpis1"/>
        <w:numPr>
          <w:ilvl w:val="0"/>
          <w:numId w:val="4"/>
        </w:numPr>
        <w:ind w:left="0" w:firstLine="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5" w:name="_Toc14270583"/>
      <w:proofErr w:type="spellStart"/>
      <w:r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lastRenderedPageBreak/>
        <w:t>Technicko</w:t>
      </w:r>
      <w:proofErr w:type="spellEnd"/>
      <w:r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– organizační</w:t>
      </w:r>
      <w:r w:rsidR="00BF64E8" w:rsidRPr="00BF64E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 xml:space="preserve"> a finanční předpoklady a požadavky</w:t>
      </w:r>
      <w:bookmarkEnd w:id="15"/>
    </w:p>
    <w:p w:rsidR="005C11FD" w:rsidRDefault="005C11FD" w:rsidP="005C11FD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6" w:name="_Toc14270584"/>
      <w:r w:rsidRPr="005C11F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t>Přehled předpokládaných (rozpočtových) nákladů projektu</w:t>
      </w:r>
      <w:bookmarkEnd w:id="16"/>
    </w:p>
    <w:p w:rsidR="007C2D42" w:rsidRPr="007C2D42" w:rsidRDefault="007C2D42" w:rsidP="007C2D42">
      <w:pPr>
        <w:rPr>
          <w:lang w:eastAsia="cs-CZ"/>
        </w:rPr>
      </w:pPr>
    </w:p>
    <w:tbl>
      <w:tblPr>
        <w:tblStyle w:val="Mkatabulky"/>
        <w:tblW w:w="11728" w:type="dxa"/>
        <w:tblLook w:val="04A0" w:firstRow="1" w:lastRow="0" w:firstColumn="1" w:lastColumn="0" w:noHBand="0" w:noVBand="1"/>
      </w:tblPr>
      <w:tblGrid>
        <w:gridCol w:w="565"/>
        <w:gridCol w:w="4566"/>
        <w:gridCol w:w="1265"/>
        <w:gridCol w:w="2666"/>
        <w:gridCol w:w="2666"/>
      </w:tblGrid>
      <w:tr w:rsidR="00183202" w:rsidRPr="00183202" w:rsidTr="00BC1C86">
        <w:trPr>
          <w:gridAfter w:val="1"/>
          <w:wAfter w:w="2666" w:type="dxa"/>
        </w:trPr>
        <w:tc>
          <w:tcPr>
            <w:tcW w:w="565" w:type="dxa"/>
          </w:tcPr>
          <w:p w:rsidR="005C11FD" w:rsidRPr="007C2D42" w:rsidRDefault="005C11FD" w:rsidP="005C11FD">
            <w:pPr>
              <w:jc w:val="center"/>
              <w:rPr>
                <w:b/>
                <w:lang w:eastAsia="cs-CZ"/>
              </w:rPr>
            </w:pPr>
            <w:r w:rsidRPr="007C2D42">
              <w:rPr>
                <w:b/>
                <w:lang w:eastAsia="cs-CZ"/>
              </w:rPr>
              <w:t>Pol.</w:t>
            </w:r>
          </w:p>
        </w:tc>
        <w:tc>
          <w:tcPr>
            <w:tcW w:w="4566" w:type="dxa"/>
          </w:tcPr>
          <w:p w:rsidR="005C11FD" w:rsidRPr="007C2D42" w:rsidRDefault="005C11FD" w:rsidP="005C11FD">
            <w:pPr>
              <w:jc w:val="center"/>
              <w:rPr>
                <w:b/>
                <w:lang w:eastAsia="cs-CZ"/>
              </w:rPr>
            </w:pPr>
            <w:r w:rsidRPr="007C2D42">
              <w:rPr>
                <w:b/>
                <w:lang w:eastAsia="cs-CZ"/>
              </w:rPr>
              <w:t>Popis</w:t>
            </w:r>
          </w:p>
        </w:tc>
        <w:tc>
          <w:tcPr>
            <w:tcW w:w="1265" w:type="dxa"/>
          </w:tcPr>
          <w:p w:rsidR="005C11FD" w:rsidRPr="007C2D42" w:rsidRDefault="00C907ED" w:rsidP="005C11FD">
            <w:pPr>
              <w:jc w:val="center"/>
              <w:rPr>
                <w:b/>
                <w:lang w:eastAsia="cs-CZ"/>
              </w:rPr>
            </w:pPr>
            <w:r w:rsidRPr="007C2D42">
              <w:rPr>
                <w:b/>
                <w:lang w:eastAsia="cs-CZ"/>
              </w:rPr>
              <w:t xml:space="preserve">mil. </w:t>
            </w:r>
            <w:r w:rsidR="005C11FD" w:rsidRPr="007C2D42">
              <w:rPr>
                <w:b/>
                <w:lang w:eastAsia="cs-CZ"/>
              </w:rPr>
              <w:t>Kč</w:t>
            </w:r>
          </w:p>
        </w:tc>
        <w:tc>
          <w:tcPr>
            <w:tcW w:w="2666" w:type="dxa"/>
          </w:tcPr>
          <w:p w:rsidR="005C11FD" w:rsidRPr="007C2D42" w:rsidRDefault="005C11FD" w:rsidP="005C11FD">
            <w:pPr>
              <w:jc w:val="center"/>
              <w:rPr>
                <w:b/>
                <w:lang w:eastAsia="cs-CZ"/>
              </w:rPr>
            </w:pPr>
            <w:r w:rsidRPr="007C2D42">
              <w:rPr>
                <w:b/>
                <w:lang w:eastAsia="cs-CZ"/>
              </w:rPr>
              <w:t>Poznámka</w:t>
            </w:r>
          </w:p>
        </w:tc>
      </w:tr>
      <w:tr w:rsidR="00183202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5C11FD" w:rsidRPr="007C2D42" w:rsidRDefault="00F62207" w:rsidP="005C11F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Stavební </w:t>
            </w:r>
            <w:r w:rsidR="005C11FD" w:rsidRPr="007C2D42">
              <w:rPr>
                <w:b/>
                <w:lang w:eastAsia="cs-CZ"/>
              </w:rPr>
              <w:t xml:space="preserve">rozpočtové náklady </w:t>
            </w:r>
            <w:r w:rsidR="00D544C8" w:rsidRPr="007C2D42">
              <w:rPr>
                <w:b/>
                <w:lang w:eastAsia="cs-CZ"/>
              </w:rPr>
              <w:t xml:space="preserve">varianty 2 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5C11FD" w:rsidRPr="007C2D42" w:rsidRDefault="00D544C8" w:rsidP="00D544C8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20</w:t>
            </w:r>
            <w:r w:rsidR="00C907ED" w:rsidRPr="007C2D42">
              <w:rPr>
                <w:lang w:eastAsia="cs-CZ"/>
              </w:rPr>
              <w:t>,0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5C11FD" w:rsidRPr="007C2D42" w:rsidRDefault="00D544C8" w:rsidP="005C11FD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Náklady dle projektu</w:t>
            </w:r>
          </w:p>
        </w:tc>
      </w:tr>
      <w:tr w:rsidR="00183202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Dodatečné náklady na obnovu ocelových oken radnice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5C11FD" w:rsidRPr="007C2D42" w:rsidRDefault="00C907ED" w:rsidP="00D544C8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1,0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5C11FD" w:rsidRPr="007C2D42" w:rsidRDefault="00D544C8" w:rsidP="005C11FD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Dle předběžné cenové nabídky</w:t>
            </w:r>
          </w:p>
        </w:tc>
      </w:tr>
      <w:tr w:rsidR="00183202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Náklady související s výběrovými řízeními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5C11FD" w:rsidRPr="007C2D42" w:rsidRDefault="00C907ED" w:rsidP="00D544C8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0,05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</w:tr>
      <w:tr w:rsidR="00183202" w:rsidRPr="00183202" w:rsidTr="00A57C15">
        <w:trPr>
          <w:gridAfter w:val="1"/>
          <w:wAfter w:w="2666" w:type="dxa"/>
          <w:trHeight w:val="262"/>
        </w:trPr>
        <w:tc>
          <w:tcPr>
            <w:tcW w:w="565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5C11FD" w:rsidRPr="007C2D42" w:rsidRDefault="005C11FD" w:rsidP="001A21F9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Autorský dozor projektanta, BOZP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5C11FD" w:rsidRPr="007C2D42" w:rsidRDefault="00C907ED" w:rsidP="00D544C8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0,5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5C11FD" w:rsidRPr="007C2D42" w:rsidRDefault="005C11FD" w:rsidP="005C11FD">
            <w:pPr>
              <w:rPr>
                <w:lang w:eastAsia="cs-CZ"/>
              </w:rPr>
            </w:pPr>
          </w:p>
        </w:tc>
      </w:tr>
      <w:tr w:rsidR="001A21F9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1A21F9" w:rsidRPr="007C2D42" w:rsidRDefault="001A21F9" w:rsidP="005C11FD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1A21F9" w:rsidRPr="007C2D42" w:rsidRDefault="001A21F9" w:rsidP="005C11FD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Administrace dotací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1A21F9" w:rsidRPr="007C2D42" w:rsidRDefault="00C907ED" w:rsidP="00D544C8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0,05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1A21F9" w:rsidRPr="007C2D42" w:rsidRDefault="001A21F9" w:rsidP="005C11FD">
            <w:pPr>
              <w:rPr>
                <w:lang w:eastAsia="cs-CZ"/>
              </w:rPr>
            </w:pPr>
          </w:p>
        </w:tc>
      </w:tr>
      <w:tr w:rsidR="007C2D42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rPr>
                <w:lang w:eastAsia="cs-CZ"/>
              </w:rPr>
            </w:pPr>
            <w:r w:rsidRPr="007C2D42">
              <w:rPr>
                <w:bCs/>
                <w:lang w:eastAsia="cs-CZ"/>
              </w:rPr>
              <w:t>Zabezpečení plynulého chodu městského úřadu po dobu realizace stavebních úprav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7C2D42" w:rsidRPr="007C2D42" w:rsidRDefault="00166A5C" w:rsidP="007C2D4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0,5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Odhad nákladů na přestěhování</w:t>
            </w:r>
          </w:p>
        </w:tc>
      </w:tr>
      <w:tr w:rsidR="007C2D42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7C2D42" w:rsidRPr="007C2D42" w:rsidRDefault="007C2D42" w:rsidP="00BC1C86">
            <w:pPr>
              <w:rPr>
                <w:lang w:eastAsia="cs-CZ"/>
              </w:rPr>
            </w:pPr>
            <w:r w:rsidRPr="007C2D42">
              <w:rPr>
                <w:b/>
                <w:bCs/>
                <w:lang w:eastAsia="cs-CZ"/>
              </w:rPr>
              <w:t>Celkem</w:t>
            </w:r>
            <w:r w:rsidRPr="007C2D42">
              <w:rPr>
                <w:lang w:eastAsia="cs-CZ"/>
              </w:rPr>
              <w:t xml:space="preserve"> </w:t>
            </w:r>
            <w:r w:rsidRPr="00BC1C86">
              <w:rPr>
                <w:b/>
                <w:lang w:eastAsia="cs-CZ"/>
              </w:rPr>
              <w:t xml:space="preserve">předpokládané náklady </w:t>
            </w:r>
            <w:r w:rsidR="00BC1C86">
              <w:rPr>
                <w:b/>
                <w:lang w:eastAsia="cs-CZ"/>
              </w:rPr>
              <w:t>varianty 2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22,1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7C2D42" w:rsidRPr="007C2D42" w:rsidRDefault="007C2D42" w:rsidP="007C2D42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b/>
                <w:bCs/>
                <w:lang w:eastAsia="cs-CZ"/>
              </w:rPr>
            </w:pPr>
            <w:r w:rsidRPr="007C2D42">
              <w:rPr>
                <w:b/>
                <w:bCs/>
                <w:lang w:eastAsia="cs-CZ"/>
              </w:rPr>
              <w:t>Potenciální dotace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jc w:val="center"/>
              <w:rPr>
                <w:lang w:eastAsia="cs-CZ"/>
              </w:rPr>
            </w:pPr>
          </w:p>
        </w:tc>
        <w:tc>
          <w:tcPr>
            <w:tcW w:w="26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Dotace Ministerstva kultury ČR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1,0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 xml:space="preserve">Výše dotace je závislá na rozhodnutí zastupitelstva </w:t>
            </w: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>Dotace Ministerstva pro místní rozvoj ČR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3,0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E599" w:themeFill="accent4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  <w:shd w:val="clear" w:color="auto" w:fill="FFE599" w:themeFill="accent4" w:themeFillTint="66"/>
          </w:tcPr>
          <w:p w:rsidR="00F62207" w:rsidRPr="00F62207" w:rsidRDefault="00F62207" w:rsidP="00F62207">
            <w:pPr>
              <w:rPr>
                <w:b/>
                <w:lang w:eastAsia="cs-CZ"/>
              </w:rPr>
            </w:pPr>
            <w:r w:rsidRPr="00F62207">
              <w:rPr>
                <w:b/>
                <w:lang w:eastAsia="cs-CZ"/>
              </w:rPr>
              <w:t>Celkem dotace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:rsidR="00F62207" w:rsidRPr="00F62207" w:rsidRDefault="00F62207" w:rsidP="00F62207">
            <w:pPr>
              <w:jc w:val="center"/>
              <w:rPr>
                <w:b/>
                <w:lang w:eastAsia="cs-CZ"/>
              </w:rPr>
            </w:pPr>
            <w:r w:rsidRPr="00F62207">
              <w:rPr>
                <w:b/>
                <w:lang w:eastAsia="cs-CZ"/>
              </w:rPr>
              <w:t>4,0</w:t>
            </w:r>
          </w:p>
        </w:tc>
        <w:tc>
          <w:tcPr>
            <w:tcW w:w="2666" w:type="dxa"/>
            <w:shd w:val="clear" w:color="auto" w:fill="FFE599" w:themeFill="accent4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FFD966" w:themeFill="accent4" w:themeFillTint="99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  <w:shd w:val="clear" w:color="auto" w:fill="FFD966" w:themeFill="accent4" w:themeFillTint="99"/>
          </w:tcPr>
          <w:p w:rsidR="00F62207" w:rsidRPr="00F62207" w:rsidRDefault="00F62207" w:rsidP="00F62207">
            <w:pPr>
              <w:rPr>
                <w:b/>
                <w:lang w:eastAsia="cs-CZ"/>
              </w:rPr>
            </w:pPr>
            <w:r w:rsidRPr="00F62207">
              <w:rPr>
                <w:b/>
                <w:lang w:eastAsia="cs-CZ"/>
              </w:rPr>
              <w:t>Náklady rozpočtu města</w:t>
            </w:r>
            <w:r w:rsidR="00A57C15">
              <w:rPr>
                <w:b/>
                <w:lang w:eastAsia="cs-CZ"/>
              </w:rPr>
              <w:t xml:space="preserve"> – varianta 2</w:t>
            </w:r>
          </w:p>
        </w:tc>
        <w:tc>
          <w:tcPr>
            <w:tcW w:w="1265" w:type="dxa"/>
            <w:shd w:val="clear" w:color="auto" w:fill="FFD966" w:themeFill="accent4" w:themeFillTint="99"/>
          </w:tcPr>
          <w:p w:rsidR="00F62207" w:rsidRPr="00F62207" w:rsidRDefault="00F62207" w:rsidP="00F62207">
            <w:pPr>
              <w:jc w:val="center"/>
              <w:rPr>
                <w:b/>
                <w:lang w:eastAsia="cs-CZ"/>
              </w:rPr>
            </w:pPr>
            <w:r w:rsidRPr="00F62207">
              <w:rPr>
                <w:b/>
                <w:lang w:eastAsia="cs-CZ"/>
              </w:rPr>
              <w:t>18,1</w:t>
            </w:r>
          </w:p>
        </w:tc>
        <w:tc>
          <w:tcPr>
            <w:tcW w:w="2666" w:type="dxa"/>
            <w:shd w:val="clear" w:color="auto" w:fill="FFD966" w:themeFill="accent4" w:themeFillTint="99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BC1C86">
        <w:trPr>
          <w:gridAfter w:val="1"/>
          <w:wAfter w:w="2666" w:type="dxa"/>
        </w:trPr>
        <w:tc>
          <w:tcPr>
            <w:tcW w:w="565" w:type="dxa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1265" w:type="dxa"/>
          </w:tcPr>
          <w:p w:rsidR="00F62207" w:rsidRPr="00183202" w:rsidRDefault="00F62207" w:rsidP="00F62207">
            <w:pPr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2666" w:type="dxa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b/>
                <w:bCs/>
                <w:lang w:eastAsia="cs-CZ"/>
              </w:rPr>
            </w:pPr>
            <w:r w:rsidRPr="007C2D42">
              <w:rPr>
                <w:b/>
                <w:lang w:eastAsia="cs-CZ"/>
              </w:rPr>
              <w:t>Celkové rozpočtové náklady varianty 1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jc w:val="center"/>
              <w:rPr>
                <w:lang w:eastAsia="cs-CZ"/>
              </w:rPr>
            </w:pP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spacing w:line="240" w:lineRule="atLeast"/>
              <w:rPr>
                <w:lang w:eastAsia="cs-CZ"/>
              </w:rPr>
            </w:pPr>
            <w:r w:rsidRPr="007C2D42">
              <w:rPr>
                <w:lang w:eastAsia="cs-CZ"/>
              </w:rPr>
              <w:t>Část 1 - fasáda nádvoří a obnova kovových oken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jc w:val="center"/>
              <w:rPr>
                <w:lang w:eastAsia="cs-CZ"/>
              </w:rPr>
            </w:pPr>
            <w:r w:rsidRPr="007C2D42">
              <w:rPr>
                <w:lang w:eastAsia="cs-CZ"/>
              </w:rPr>
              <w:t>2,0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spacing w:line="240" w:lineRule="atLeast"/>
              <w:rPr>
                <w:lang w:eastAsia="cs-CZ"/>
              </w:rPr>
            </w:pPr>
            <w:r w:rsidRPr="00E67719">
              <w:rPr>
                <w:lang w:eastAsia="cs-CZ"/>
              </w:rPr>
              <w:t>Část 2 - výtah a bezbariérové úpravy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E67719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6</w:t>
            </w:r>
            <w:r w:rsidR="00F62207" w:rsidRPr="00E67719">
              <w:rPr>
                <w:lang w:eastAsia="cs-CZ"/>
              </w:rPr>
              <w:t>,0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lang w:eastAsia="cs-CZ"/>
              </w:rPr>
              <w:t>Náklady související s výběrovými řízeními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0,05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lang w:eastAsia="cs-CZ"/>
              </w:rPr>
              <w:t>Autorský dozor projektanta, BOZP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0,3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jc w:val="center"/>
              <w:rPr>
                <w:color w:val="FF0000"/>
                <w:lang w:eastAsia="cs-CZ"/>
              </w:rPr>
            </w:pPr>
          </w:p>
        </w:tc>
        <w:tc>
          <w:tcPr>
            <w:tcW w:w="2666" w:type="dxa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lang w:eastAsia="cs-CZ"/>
              </w:rPr>
              <w:t>Administrace dotací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0,05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b/>
                <w:bCs/>
                <w:lang w:eastAsia="cs-CZ"/>
              </w:rPr>
              <w:t>Celkem</w:t>
            </w:r>
            <w:r w:rsidRPr="00E67719">
              <w:rPr>
                <w:lang w:eastAsia="cs-CZ"/>
              </w:rPr>
              <w:t xml:space="preserve"> </w:t>
            </w:r>
            <w:r w:rsidRPr="00E67719">
              <w:rPr>
                <w:b/>
                <w:lang w:eastAsia="cs-CZ"/>
              </w:rPr>
              <w:t>předpokládané náklady varianty 1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E67719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8</w:t>
            </w:r>
            <w:r w:rsidR="00F62207" w:rsidRPr="00E67719">
              <w:rPr>
                <w:lang w:eastAsia="cs-CZ"/>
              </w:rPr>
              <w:t>,4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b/>
                <w:bCs/>
                <w:lang w:eastAsia="cs-CZ"/>
              </w:rPr>
            </w:pPr>
            <w:r w:rsidRPr="00E67719">
              <w:rPr>
                <w:b/>
                <w:bCs/>
                <w:lang w:eastAsia="cs-CZ"/>
              </w:rPr>
              <w:t>Potenciální dotace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lang w:eastAsia="cs-CZ"/>
              </w:rPr>
              <w:t>Dotace Ministerstva kultury ČR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1,0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  <w:r w:rsidRPr="007C2D42">
              <w:rPr>
                <w:lang w:eastAsia="cs-CZ"/>
              </w:rPr>
              <w:t xml:space="preserve">Výše dotace je závislá na rozhodnutí zastupitelstva </w:t>
            </w: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lang w:eastAsia="cs-CZ"/>
              </w:rPr>
            </w:pPr>
            <w:r w:rsidRPr="00E67719">
              <w:rPr>
                <w:lang w:eastAsia="cs-CZ"/>
              </w:rPr>
              <w:t>Dotace Ministerstva pro místní rozvoj ČR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lang w:eastAsia="cs-CZ"/>
              </w:rPr>
            </w:pPr>
            <w:r w:rsidRPr="00E67719">
              <w:rPr>
                <w:lang w:eastAsia="cs-CZ"/>
              </w:rPr>
              <w:t>3,0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7C2D42" w:rsidRDefault="00F62207" w:rsidP="00F62207">
            <w:pPr>
              <w:rPr>
                <w:lang w:eastAsia="cs-CZ"/>
              </w:rPr>
            </w:pPr>
          </w:p>
        </w:tc>
      </w:tr>
      <w:tr w:rsidR="00F62207" w:rsidRPr="00183202" w:rsidTr="00A57C15">
        <w:trPr>
          <w:gridAfter w:val="1"/>
          <w:wAfter w:w="2666" w:type="dxa"/>
        </w:trPr>
        <w:tc>
          <w:tcPr>
            <w:tcW w:w="565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rPr>
                <w:b/>
                <w:lang w:eastAsia="cs-CZ"/>
              </w:rPr>
            </w:pPr>
            <w:r w:rsidRPr="00E67719">
              <w:rPr>
                <w:b/>
                <w:lang w:eastAsia="cs-CZ"/>
              </w:rPr>
              <w:t>Celkem dotace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F62207" w:rsidRPr="00E67719" w:rsidRDefault="00F62207" w:rsidP="00F62207">
            <w:pPr>
              <w:jc w:val="center"/>
              <w:rPr>
                <w:b/>
                <w:lang w:eastAsia="cs-CZ"/>
              </w:rPr>
            </w:pPr>
            <w:r w:rsidRPr="00E67719">
              <w:rPr>
                <w:b/>
                <w:lang w:eastAsia="cs-CZ"/>
              </w:rPr>
              <w:t>4,0</w:t>
            </w:r>
          </w:p>
        </w:tc>
        <w:tc>
          <w:tcPr>
            <w:tcW w:w="2666" w:type="dxa"/>
            <w:shd w:val="clear" w:color="auto" w:fill="C5E0B3" w:themeFill="accent6" w:themeFillTint="66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  <w:tr w:rsidR="00F62207" w:rsidRPr="00C26C1C" w:rsidTr="00A57C15">
        <w:trPr>
          <w:gridAfter w:val="1"/>
          <w:wAfter w:w="2666" w:type="dxa"/>
        </w:trPr>
        <w:tc>
          <w:tcPr>
            <w:tcW w:w="565" w:type="dxa"/>
            <w:shd w:val="clear" w:color="auto" w:fill="A8D08D" w:themeFill="accent6" w:themeFillTint="99"/>
          </w:tcPr>
          <w:p w:rsidR="00F62207" w:rsidRPr="00C26C1C" w:rsidRDefault="00F62207" w:rsidP="00F62207">
            <w:pPr>
              <w:rPr>
                <w:color w:val="FF0000"/>
                <w:lang w:eastAsia="cs-CZ"/>
              </w:rPr>
            </w:pPr>
          </w:p>
        </w:tc>
        <w:tc>
          <w:tcPr>
            <w:tcW w:w="4566" w:type="dxa"/>
            <w:shd w:val="clear" w:color="auto" w:fill="A8D08D" w:themeFill="accent6" w:themeFillTint="99"/>
          </w:tcPr>
          <w:p w:rsidR="00F62207" w:rsidRPr="00E67719" w:rsidRDefault="00F62207" w:rsidP="00F62207">
            <w:pPr>
              <w:rPr>
                <w:b/>
                <w:lang w:eastAsia="cs-CZ"/>
              </w:rPr>
            </w:pPr>
            <w:r w:rsidRPr="00E67719">
              <w:rPr>
                <w:b/>
                <w:lang w:eastAsia="cs-CZ"/>
              </w:rPr>
              <w:t>Náklady rozpočtu města</w:t>
            </w:r>
            <w:r w:rsidR="00A57C15" w:rsidRPr="00E67719">
              <w:rPr>
                <w:b/>
                <w:lang w:eastAsia="cs-CZ"/>
              </w:rPr>
              <w:t xml:space="preserve"> – varianta 1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F62207" w:rsidRPr="00E67719" w:rsidRDefault="00E67719" w:rsidP="00F62207">
            <w:pPr>
              <w:jc w:val="center"/>
              <w:rPr>
                <w:b/>
                <w:lang w:eastAsia="cs-CZ"/>
              </w:rPr>
            </w:pPr>
            <w:r w:rsidRPr="00E67719">
              <w:rPr>
                <w:b/>
                <w:lang w:eastAsia="cs-CZ"/>
              </w:rPr>
              <w:t>4</w:t>
            </w:r>
            <w:r w:rsidR="00F62207" w:rsidRPr="00E67719">
              <w:rPr>
                <w:b/>
                <w:lang w:eastAsia="cs-CZ"/>
              </w:rPr>
              <w:t>,4</w:t>
            </w:r>
          </w:p>
        </w:tc>
        <w:tc>
          <w:tcPr>
            <w:tcW w:w="2666" w:type="dxa"/>
            <w:shd w:val="clear" w:color="auto" w:fill="A8D08D" w:themeFill="accent6" w:themeFillTint="99"/>
          </w:tcPr>
          <w:p w:rsidR="00F62207" w:rsidRPr="00183202" w:rsidRDefault="00F62207" w:rsidP="00F62207">
            <w:pPr>
              <w:rPr>
                <w:color w:val="FF0000"/>
                <w:lang w:eastAsia="cs-CZ"/>
              </w:rPr>
            </w:pPr>
          </w:p>
        </w:tc>
      </w:tr>
    </w:tbl>
    <w:p w:rsidR="00E67719" w:rsidRDefault="00E67719" w:rsidP="005C11FD">
      <w:pPr>
        <w:rPr>
          <w:lang w:eastAsia="cs-CZ"/>
        </w:rPr>
      </w:pPr>
    </w:p>
    <w:p w:rsidR="00183202" w:rsidRDefault="00E67719" w:rsidP="005C11FD">
      <w:pPr>
        <w:rPr>
          <w:lang w:eastAsia="cs-CZ"/>
        </w:rPr>
      </w:pPr>
      <w:r>
        <w:rPr>
          <w:lang w:eastAsia="cs-CZ"/>
        </w:rPr>
        <w:br w:type="page"/>
      </w:r>
    </w:p>
    <w:p w:rsidR="00865072" w:rsidRDefault="00865072" w:rsidP="00865072">
      <w:pPr>
        <w:pStyle w:val="Nadpis2"/>
        <w:numPr>
          <w:ilvl w:val="1"/>
          <w:numId w:val="4"/>
        </w:numPr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</w:pPr>
      <w:bookmarkStart w:id="17" w:name="_Toc14270585"/>
      <w:r w:rsidRPr="0086507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cs-CZ"/>
        </w:rPr>
        <w:lastRenderedPageBreak/>
        <w:t>Rámcový harmonogram postupu</w:t>
      </w:r>
      <w:bookmarkEnd w:id="17"/>
    </w:p>
    <w:p w:rsidR="00865072" w:rsidRDefault="00865072" w:rsidP="001C4A12">
      <w:pPr>
        <w:ind w:firstLine="708"/>
        <w:jc w:val="both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5C11FD" w:rsidTr="005C11FD">
        <w:tc>
          <w:tcPr>
            <w:tcW w:w="562" w:type="dxa"/>
          </w:tcPr>
          <w:p w:rsidR="005C11FD" w:rsidRDefault="005C11FD" w:rsidP="00865072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Pol.</w:t>
            </w:r>
          </w:p>
        </w:tc>
        <w:tc>
          <w:tcPr>
            <w:tcW w:w="6379" w:type="dxa"/>
          </w:tcPr>
          <w:p w:rsidR="005C11FD" w:rsidRDefault="005C11FD" w:rsidP="00865072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Popis</w:t>
            </w:r>
          </w:p>
        </w:tc>
        <w:tc>
          <w:tcPr>
            <w:tcW w:w="2121" w:type="dxa"/>
          </w:tcPr>
          <w:p w:rsidR="005C11FD" w:rsidRDefault="005C11FD" w:rsidP="00A57C15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Termín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b/>
                <w:bCs/>
                <w:lang w:eastAsia="cs-CZ"/>
              </w:rPr>
            </w:pPr>
            <w:r w:rsidRPr="00A57C15">
              <w:rPr>
                <w:b/>
                <w:bCs/>
                <w:lang w:eastAsia="cs-CZ"/>
              </w:rPr>
              <w:t>Rozhodnutí ú způsobu realizace projektu</w:t>
            </w:r>
          </w:p>
        </w:tc>
        <w:tc>
          <w:tcPr>
            <w:tcW w:w="2121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A57C15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 xml:space="preserve">Příprava materiálu pro jednání rady města 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8/2019</w:t>
            </w: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A57C15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 xml:space="preserve">Jednání rady města 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8/2019</w:t>
            </w: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Příprava materiálů pro jednání zastupitelstva města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9/2019</w:t>
            </w: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Jednání zastupitelstva města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9/2019</w:t>
            </w: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2121" w:type="dxa"/>
          </w:tcPr>
          <w:p w:rsidR="005C11FD" w:rsidRPr="00A57C15" w:rsidRDefault="005C11FD" w:rsidP="007C2D42">
            <w:pPr>
              <w:jc w:val="center"/>
              <w:rPr>
                <w:lang w:eastAsia="cs-CZ"/>
              </w:rPr>
            </w:pP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C4A12" w:rsidP="001C4A12">
            <w:pPr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Úprava p</w:t>
            </w:r>
            <w:r w:rsidR="001A21F9" w:rsidRPr="00A57C15">
              <w:rPr>
                <w:b/>
                <w:bCs/>
                <w:lang w:eastAsia="cs-CZ"/>
              </w:rPr>
              <w:t>rojektová dokumentace a v</w:t>
            </w:r>
            <w:r>
              <w:rPr>
                <w:b/>
                <w:bCs/>
                <w:lang w:eastAsia="cs-CZ"/>
              </w:rPr>
              <w:t>ýběrové řízení na dodavatele</w:t>
            </w:r>
          </w:p>
        </w:tc>
        <w:tc>
          <w:tcPr>
            <w:tcW w:w="2121" w:type="dxa"/>
          </w:tcPr>
          <w:p w:rsidR="00183202" w:rsidRPr="00A57C15" w:rsidRDefault="00183202" w:rsidP="007C2D42">
            <w:pPr>
              <w:jc w:val="center"/>
              <w:rPr>
                <w:lang w:eastAsia="cs-CZ"/>
              </w:rPr>
            </w:pP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Úprava projektové dokumentace dle typu rozhodnutí ZM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10/2019</w:t>
            </w:r>
          </w:p>
        </w:tc>
      </w:tr>
      <w:tr w:rsidR="001A21F9" w:rsidRPr="00C26C1C" w:rsidTr="005C11FD">
        <w:tc>
          <w:tcPr>
            <w:tcW w:w="562" w:type="dxa"/>
          </w:tcPr>
          <w:p w:rsidR="001A21F9" w:rsidRPr="00A57C15" w:rsidRDefault="001A21F9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A21F9" w:rsidRPr="00A57C15" w:rsidRDefault="001A21F9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Zajištění závazného stanoviska památkové péče</w:t>
            </w:r>
          </w:p>
        </w:tc>
        <w:tc>
          <w:tcPr>
            <w:tcW w:w="2121" w:type="dxa"/>
          </w:tcPr>
          <w:p w:rsidR="001A21F9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10/2019</w:t>
            </w:r>
          </w:p>
        </w:tc>
      </w:tr>
      <w:tr w:rsidR="005C11FD" w:rsidRPr="00C26C1C" w:rsidTr="005C11FD">
        <w:tc>
          <w:tcPr>
            <w:tcW w:w="562" w:type="dxa"/>
          </w:tcPr>
          <w:p w:rsidR="005C11FD" w:rsidRPr="00A57C15" w:rsidRDefault="005C11FD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5C11FD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Zpracování zadávacích podmínek pro výběr dodavatele stavby</w:t>
            </w:r>
          </w:p>
        </w:tc>
        <w:tc>
          <w:tcPr>
            <w:tcW w:w="2121" w:type="dxa"/>
          </w:tcPr>
          <w:p w:rsidR="005C11FD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11/2019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Zabezpečení výběrového zadání na dodavatele stavby</w:t>
            </w:r>
          </w:p>
        </w:tc>
        <w:tc>
          <w:tcPr>
            <w:tcW w:w="2121" w:type="dxa"/>
          </w:tcPr>
          <w:p w:rsidR="00183202" w:rsidRPr="00A57C15" w:rsidRDefault="001443FC" w:rsidP="007C2D4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11-12/</w:t>
            </w:r>
            <w:r w:rsidR="007C2D42" w:rsidRPr="00A57C15">
              <w:rPr>
                <w:lang w:eastAsia="cs-CZ"/>
              </w:rPr>
              <w:t>2019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2121" w:type="dxa"/>
          </w:tcPr>
          <w:p w:rsidR="00183202" w:rsidRPr="00A57C15" w:rsidRDefault="00183202" w:rsidP="007C2D42">
            <w:pPr>
              <w:jc w:val="center"/>
              <w:rPr>
                <w:lang w:eastAsia="cs-CZ"/>
              </w:rPr>
            </w:pP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b/>
                <w:bCs/>
                <w:lang w:eastAsia="cs-CZ"/>
              </w:rPr>
            </w:pPr>
            <w:r w:rsidRPr="00A57C15">
              <w:rPr>
                <w:b/>
                <w:bCs/>
                <w:lang w:eastAsia="cs-CZ"/>
              </w:rPr>
              <w:t xml:space="preserve">Financování </w:t>
            </w:r>
          </w:p>
        </w:tc>
        <w:tc>
          <w:tcPr>
            <w:tcW w:w="2121" w:type="dxa"/>
          </w:tcPr>
          <w:p w:rsidR="00183202" w:rsidRPr="00A57C15" w:rsidRDefault="00183202" w:rsidP="007C2D42">
            <w:pPr>
              <w:jc w:val="center"/>
              <w:rPr>
                <w:lang w:eastAsia="cs-CZ"/>
              </w:rPr>
            </w:pP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Schválení rozpočtu města na rok 2020</w:t>
            </w:r>
          </w:p>
        </w:tc>
        <w:tc>
          <w:tcPr>
            <w:tcW w:w="2121" w:type="dxa"/>
          </w:tcPr>
          <w:p w:rsidR="00183202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12/2019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C4A12" w:rsidP="001C4A12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183202" w:rsidRPr="00A57C15">
              <w:rPr>
                <w:lang w:eastAsia="cs-CZ"/>
              </w:rPr>
              <w:t xml:space="preserve">ařazení </w:t>
            </w:r>
            <w:r w:rsidR="001A21F9" w:rsidRPr="00A57C15">
              <w:rPr>
                <w:lang w:eastAsia="cs-CZ"/>
              </w:rPr>
              <w:t xml:space="preserve">části stavby do Anketního dotazníku, </w:t>
            </w:r>
            <w:r>
              <w:rPr>
                <w:lang w:eastAsia="cs-CZ"/>
              </w:rPr>
              <w:t xml:space="preserve">administrace stavby z MK ČR, </w:t>
            </w:r>
            <w:r w:rsidR="001A21F9" w:rsidRPr="00A57C15">
              <w:rPr>
                <w:lang w:eastAsia="cs-CZ"/>
              </w:rPr>
              <w:t>čerpání dotace</w:t>
            </w:r>
          </w:p>
        </w:tc>
        <w:tc>
          <w:tcPr>
            <w:tcW w:w="2121" w:type="dxa"/>
          </w:tcPr>
          <w:p w:rsidR="00183202" w:rsidRPr="00A57C15" w:rsidRDefault="007C2D42" w:rsidP="007C2D42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11/2019</w:t>
            </w:r>
            <w:r w:rsidR="001C4A12">
              <w:rPr>
                <w:lang w:eastAsia="cs-CZ"/>
              </w:rPr>
              <w:t xml:space="preserve"> – 11/2020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A21F9" w:rsidP="001C4A1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Administrace stavby z</w:t>
            </w:r>
            <w:r w:rsidR="001C4A12">
              <w:rPr>
                <w:lang w:eastAsia="cs-CZ"/>
              </w:rPr>
              <w:t> </w:t>
            </w:r>
            <w:r w:rsidRPr="00A57C15">
              <w:rPr>
                <w:lang w:eastAsia="cs-CZ"/>
              </w:rPr>
              <w:t>MMR</w:t>
            </w:r>
            <w:r w:rsidR="001C4A12">
              <w:rPr>
                <w:lang w:eastAsia="cs-CZ"/>
              </w:rPr>
              <w:t xml:space="preserve"> ČR, </w:t>
            </w:r>
            <w:r w:rsidRPr="00A57C15">
              <w:rPr>
                <w:lang w:eastAsia="cs-CZ"/>
              </w:rPr>
              <w:t>čerpání dotace</w:t>
            </w:r>
          </w:p>
        </w:tc>
        <w:tc>
          <w:tcPr>
            <w:tcW w:w="2121" w:type="dxa"/>
          </w:tcPr>
          <w:p w:rsidR="00183202" w:rsidRPr="00A57C15" w:rsidRDefault="001C4A12" w:rsidP="00BC1C8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04/2020 - 11/2020</w:t>
            </w:r>
          </w:p>
        </w:tc>
      </w:tr>
      <w:tr w:rsidR="00183202" w:rsidRPr="00C26C1C" w:rsidTr="005C11FD">
        <w:tc>
          <w:tcPr>
            <w:tcW w:w="562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183202" w:rsidRPr="00A57C15" w:rsidRDefault="00183202" w:rsidP="00865072">
            <w:pPr>
              <w:jc w:val="both"/>
              <w:rPr>
                <w:lang w:eastAsia="cs-CZ"/>
              </w:rPr>
            </w:pPr>
          </w:p>
        </w:tc>
        <w:tc>
          <w:tcPr>
            <w:tcW w:w="2121" w:type="dxa"/>
          </w:tcPr>
          <w:p w:rsidR="00183202" w:rsidRPr="00A57C15" w:rsidRDefault="00183202" w:rsidP="00BC1C86">
            <w:pPr>
              <w:jc w:val="center"/>
              <w:rPr>
                <w:lang w:eastAsia="cs-CZ"/>
              </w:rPr>
            </w:pPr>
          </w:p>
        </w:tc>
      </w:tr>
      <w:tr w:rsidR="007C2D42" w:rsidRPr="00C26C1C" w:rsidTr="005C11FD">
        <w:tc>
          <w:tcPr>
            <w:tcW w:w="562" w:type="dxa"/>
          </w:tcPr>
          <w:p w:rsidR="007C2D42" w:rsidRPr="00A57C15" w:rsidRDefault="007C2D42" w:rsidP="007C2D4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7C2D42" w:rsidRPr="00A57C15" w:rsidRDefault="007C2D42" w:rsidP="007C2D42">
            <w:pPr>
              <w:jc w:val="both"/>
              <w:rPr>
                <w:b/>
                <w:bCs/>
                <w:lang w:eastAsia="cs-CZ"/>
              </w:rPr>
            </w:pPr>
            <w:r w:rsidRPr="00A57C15">
              <w:rPr>
                <w:b/>
                <w:bCs/>
                <w:lang w:eastAsia="cs-CZ"/>
              </w:rPr>
              <w:t>Realizace stavby</w:t>
            </w:r>
          </w:p>
        </w:tc>
        <w:tc>
          <w:tcPr>
            <w:tcW w:w="2121" w:type="dxa"/>
          </w:tcPr>
          <w:p w:rsidR="007C2D42" w:rsidRPr="00A57C15" w:rsidRDefault="007C2D42" w:rsidP="00BC1C86">
            <w:pPr>
              <w:jc w:val="center"/>
              <w:rPr>
                <w:lang w:eastAsia="cs-CZ"/>
              </w:rPr>
            </w:pPr>
          </w:p>
        </w:tc>
      </w:tr>
      <w:tr w:rsidR="007C2D42" w:rsidRPr="00C26C1C" w:rsidTr="005C11FD">
        <w:tc>
          <w:tcPr>
            <w:tcW w:w="562" w:type="dxa"/>
          </w:tcPr>
          <w:p w:rsidR="007C2D42" w:rsidRPr="00A57C15" w:rsidRDefault="007C2D42" w:rsidP="007C2D4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7C2D42" w:rsidRPr="00A57C15" w:rsidRDefault="007C2D42" w:rsidP="007C2D4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Zahájení stavby a předání staveniště – varianta 2</w:t>
            </w:r>
          </w:p>
        </w:tc>
        <w:tc>
          <w:tcPr>
            <w:tcW w:w="2121" w:type="dxa"/>
          </w:tcPr>
          <w:p w:rsidR="007C2D42" w:rsidRPr="00A57C15" w:rsidRDefault="00BC1C86" w:rsidP="00BC1C86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05</w:t>
            </w:r>
            <w:r w:rsidR="007C2D42" w:rsidRPr="00A57C15">
              <w:rPr>
                <w:lang w:eastAsia="cs-CZ"/>
              </w:rPr>
              <w:t>/2020</w:t>
            </w:r>
          </w:p>
        </w:tc>
      </w:tr>
      <w:tr w:rsidR="007C2D42" w:rsidRPr="00C26C1C" w:rsidTr="005C11FD">
        <w:tc>
          <w:tcPr>
            <w:tcW w:w="562" w:type="dxa"/>
          </w:tcPr>
          <w:p w:rsidR="007C2D42" w:rsidRPr="00A57C15" w:rsidRDefault="007C2D42" w:rsidP="007C2D42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7C2D42" w:rsidRPr="00A57C15" w:rsidRDefault="007C2D42" w:rsidP="007C2D42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Ukončení stavby</w:t>
            </w:r>
          </w:p>
        </w:tc>
        <w:tc>
          <w:tcPr>
            <w:tcW w:w="2121" w:type="dxa"/>
          </w:tcPr>
          <w:p w:rsidR="007C2D42" w:rsidRPr="00A57C15" w:rsidRDefault="007C2D42" w:rsidP="00BC1C86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0</w:t>
            </w:r>
            <w:r w:rsidR="00BC1C86" w:rsidRPr="00A57C15">
              <w:rPr>
                <w:lang w:eastAsia="cs-CZ"/>
              </w:rPr>
              <w:t>3/2021</w:t>
            </w:r>
          </w:p>
        </w:tc>
      </w:tr>
      <w:tr w:rsidR="00BC1C86" w:rsidRPr="00C26C1C" w:rsidTr="005C11FD">
        <w:tc>
          <w:tcPr>
            <w:tcW w:w="562" w:type="dxa"/>
          </w:tcPr>
          <w:p w:rsidR="00BC1C86" w:rsidRPr="00A57C15" w:rsidRDefault="00BC1C86" w:rsidP="00BC1C86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BC1C86" w:rsidRPr="00A57C15" w:rsidRDefault="00BC1C86" w:rsidP="00BC1C86">
            <w:pPr>
              <w:jc w:val="both"/>
              <w:rPr>
                <w:lang w:eastAsia="cs-CZ"/>
              </w:rPr>
            </w:pPr>
            <w:r w:rsidRPr="00A57C15">
              <w:rPr>
                <w:lang w:eastAsia="cs-CZ"/>
              </w:rPr>
              <w:t>Zahájení stavby a předání staveniště – varianta 1</w:t>
            </w:r>
          </w:p>
        </w:tc>
        <w:tc>
          <w:tcPr>
            <w:tcW w:w="2121" w:type="dxa"/>
          </w:tcPr>
          <w:p w:rsidR="00BC1C86" w:rsidRPr="00A57C15" w:rsidRDefault="00BC1C86" w:rsidP="00BC1C86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04/2020</w:t>
            </w:r>
          </w:p>
        </w:tc>
      </w:tr>
      <w:tr w:rsidR="00BC1C86" w:rsidRPr="00C26C1C" w:rsidTr="005C11FD">
        <w:tc>
          <w:tcPr>
            <w:tcW w:w="562" w:type="dxa"/>
          </w:tcPr>
          <w:p w:rsidR="00BC1C86" w:rsidRPr="00A57C15" w:rsidRDefault="00BC1C86" w:rsidP="00BC1C86">
            <w:pPr>
              <w:jc w:val="both"/>
              <w:rPr>
                <w:lang w:eastAsia="cs-CZ"/>
              </w:rPr>
            </w:pPr>
          </w:p>
        </w:tc>
        <w:tc>
          <w:tcPr>
            <w:tcW w:w="6379" w:type="dxa"/>
          </w:tcPr>
          <w:p w:rsidR="00BC1C86" w:rsidRPr="00A57C15" w:rsidRDefault="00BC1C86" w:rsidP="00BC1C86">
            <w:pPr>
              <w:jc w:val="both"/>
              <w:rPr>
                <w:b/>
                <w:bCs/>
                <w:lang w:eastAsia="cs-CZ"/>
              </w:rPr>
            </w:pPr>
            <w:r w:rsidRPr="00A57C15">
              <w:rPr>
                <w:lang w:eastAsia="cs-CZ"/>
              </w:rPr>
              <w:t>Ukončení stavby</w:t>
            </w:r>
          </w:p>
        </w:tc>
        <w:tc>
          <w:tcPr>
            <w:tcW w:w="2121" w:type="dxa"/>
          </w:tcPr>
          <w:p w:rsidR="00BC1C86" w:rsidRPr="00A57C15" w:rsidRDefault="00BC1C86" w:rsidP="00BC1C86">
            <w:pPr>
              <w:jc w:val="center"/>
              <w:rPr>
                <w:lang w:eastAsia="cs-CZ"/>
              </w:rPr>
            </w:pPr>
            <w:r w:rsidRPr="00A57C15">
              <w:rPr>
                <w:lang w:eastAsia="cs-CZ"/>
              </w:rPr>
              <w:t>09/2020</w:t>
            </w:r>
          </w:p>
        </w:tc>
      </w:tr>
    </w:tbl>
    <w:p w:rsidR="00865072" w:rsidRPr="00BF64E8" w:rsidRDefault="00865072" w:rsidP="00865072">
      <w:pPr>
        <w:jc w:val="both"/>
        <w:rPr>
          <w:lang w:eastAsia="cs-CZ"/>
        </w:rPr>
      </w:pPr>
    </w:p>
    <w:p w:rsidR="00BF64E8" w:rsidRPr="00BF64E8" w:rsidRDefault="00BF64E8" w:rsidP="00BF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F64E8" w:rsidRPr="00BF64E8" w:rsidRDefault="00BF64E8" w:rsidP="00BF6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6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18" w:name="_GoBack"/>
      <w:bookmarkEnd w:id="18"/>
    </w:p>
    <w:sectPr w:rsidR="00BF64E8" w:rsidRPr="00BF64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C2" w:rsidRDefault="000B0AC2" w:rsidP="00C26C1C">
      <w:pPr>
        <w:spacing w:after="0" w:line="240" w:lineRule="auto"/>
      </w:pPr>
      <w:r>
        <w:separator/>
      </w:r>
    </w:p>
  </w:endnote>
  <w:endnote w:type="continuationSeparator" w:id="0">
    <w:p w:rsidR="000B0AC2" w:rsidRDefault="000B0AC2" w:rsidP="00C2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C2" w:rsidRDefault="000B0AC2" w:rsidP="00C26C1C">
      <w:pPr>
        <w:spacing w:after="0" w:line="240" w:lineRule="auto"/>
      </w:pPr>
      <w:r>
        <w:separator/>
      </w:r>
    </w:p>
  </w:footnote>
  <w:footnote w:type="continuationSeparator" w:id="0">
    <w:p w:rsidR="000B0AC2" w:rsidRDefault="000B0AC2" w:rsidP="00C2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107443"/>
      <w:docPartObj>
        <w:docPartGallery w:val="Page Numbers (Top of Page)"/>
        <w:docPartUnique/>
      </w:docPartObj>
    </w:sdtPr>
    <w:sdtEndPr/>
    <w:sdtContent>
      <w:p w:rsidR="00C26C1C" w:rsidRDefault="000B0AC2">
        <w:pPr>
          <w:pStyle w:val="Zhlav"/>
          <w:jc w:val="right"/>
        </w:pPr>
      </w:p>
    </w:sdtContent>
  </w:sdt>
  <w:p w:rsidR="00C26C1C" w:rsidRDefault="00C26C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9FD"/>
    <w:multiLevelType w:val="hybridMultilevel"/>
    <w:tmpl w:val="59C43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ECB"/>
    <w:multiLevelType w:val="multilevel"/>
    <w:tmpl w:val="FD18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0F766532"/>
    <w:multiLevelType w:val="hybridMultilevel"/>
    <w:tmpl w:val="1984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1D6"/>
    <w:multiLevelType w:val="hybridMultilevel"/>
    <w:tmpl w:val="4896F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EF"/>
    <w:multiLevelType w:val="multilevel"/>
    <w:tmpl w:val="651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51AE0"/>
    <w:multiLevelType w:val="hybridMultilevel"/>
    <w:tmpl w:val="6928B89C"/>
    <w:lvl w:ilvl="0" w:tplc="5EECE3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21778"/>
    <w:multiLevelType w:val="hybridMultilevel"/>
    <w:tmpl w:val="2BE6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51CD"/>
    <w:multiLevelType w:val="multilevel"/>
    <w:tmpl w:val="D516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602A3"/>
    <w:multiLevelType w:val="hybridMultilevel"/>
    <w:tmpl w:val="A392A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141"/>
    <w:multiLevelType w:val="hybridMultilevel"/>
    <w:tmpl w:val="63F0892A"/>
    <w:lvl w:ilvl="0" w:tplc="51B4F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7025"/>
    <w:multiLevelType w:val="hybridMultilevel"/>
    <w:tmpl w:val="39B4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6EE2"/>
    <w:multiLevelType w:val="hybridMultilevel"/>
    <w:tmpl w:val="5A82B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2A84"/>
    <w:multiLevelType w:val="multilevel"/>
    <w:tmpl w:val="7A3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9323D"/>
    <w:multiLevelType w:val="hybridMultilevel"/>
    <w:tmpl w:val="8EFA8506"/>
    <w:lvl w:ilvl="0" w:tplc="16A2A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E8"/>
    <w:rsid w:val="00034AE9"/>
    <w:rsid w:val="00077329"/>
    <w:rsid w:val="000B0AC2"/>
    <w:rsid w:val="000C7C98"/>
    <w:rsid w:val="001046DF"/>
    <w:rsid w:val="00124C5C"/>
    <w:rsid w:val="00136F73"/>
    <w:rsid w:val="00143FE0"/>
    <w:rsid w:val="001443FC"/>
    <w:rsid w:val="00166A5C"/>
    <w:rsid w:val="00182427"/>
    <w:rsid w:val="00183202"/>
    <w:rsid w:val="001A21F9"/>
    <w:rsid w:val="001C4A12"/>
    <w:rsid w:val="001E2CF1"/>
    <w:rsid w:val="00204DBC"/>
    <w:rsid w:val="00270F0C"/>
    <w:rsid w:val="00293C0D"/>
    <w:rsid w:val="003214A1"/>
    <w:rsid w:val="0032156E"/>
    <w:rsid w:val="00340E11"/>
    <w:rsid w:val="005557E5"/>
    <w:rsid w:val="00562F23"/>
    <w:rsid w:val="005C11FD"/>
    <w:rsid w:val="00665F09"/>
    <w:rsid w:val="00706437"/>
    <w:rsid w:val="007C2D42"/>
    <w:rsid w:val="00865072"/>
    <w:rsid w:val="008F66BD"/>
    <w:rsid w:val="0094711F"/>
    <w:rsid w:val="00952E0F"/>
    <w:rsid w:val="009C79ED"/>
    <w:rsid w:val="00A51760"/>
    <w:rsid w:val="00A57C15"/>
    <w:rsid w:val="00A64586"/>
    <w:rsid w:val="00AA2596"/>
    <w:rsid w:val="00AA4FDA"/>
    <w:rsid w:val="00B748F4"/>
    <w:rsid w:val="00BC1C86"/>
    <w:rsid w:val="00BF64E8"/>
    <w:rsid w:val="00C26C1C"/>
    <w:rsid w:val="00C86C21"/>
    <w:rsid w:val="00C907ED"/>
    <w:rsid w:val="00C918BE"/>
    <w:rsid w:val="00D137C7"/>
    <w:rsid w:val="00D35E06"/>
    <w:rsid w:val="00D544C8"/>
    <w:rsid w:val="00DA36EA"/>
    <w:rsid w:val="00E05C0D"/>
    <w:rsid w:val="00E27236"/>
    <w:rsid w:val="00E67719"/>
    <w:rsid w:val="00F62207"/>
    <w:rsid w:val="00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062E-5796-4B74-9F73-A5505D85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1FD"/>
  </w:style>
  <w:style w:type="paragraph" w:styleId="Nadpis1">
    <w:name w:val="heading 1"/>
    <w:basedOn w:val="Normln"/>
    <w:next w:val="Normln"/>
    <w:link w:val="Nadpis1Char"/>
    <w:uiPriority w:val="9"/>
    <w:qFormat/>
    <w:rsid w:val="00340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4E8"/>
    <w:rPr>
      <w:b/>
      <w:bCs/>
    </w:rPr>
  </w:style>
  <w:style w:type="paragraph" w:styleId="Bezmezer">
    <w:name w:val="No Spacing"/>
    <w:link w:val="BezmezerChar"/>
    <w:uiPriority w:val="1"/>
    <w:qFormat/>
    <w:rsid w:val="00340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0E11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0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40E1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40E1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40E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45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64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665F09"/>
    <w:pPr>
      <w:spacing w:after="100"/>
      <w:ind w:left="220"/>
    </w:pPr>
  </w:style>
  <w:style w:type="table" w:styleId="Mkatabulky">
    <w:name w:val="Table Grid"/>
    <w:basedOn w:val="Normlntabulka"/>
    <w:uiPriority w:val="39"/>
    <w:rsid w:val="005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C1C"/>
  </w:style>
  <w:style w:type="paragraph" w:styleId="Zpat">
    <w:name w:val="footer"/>
    <w:basedOn w:val="Normln"/>
    <w:link w:val="ZpatChar"/>
    <w:uiPriority w:val="99"/>
    <w:unhideWhenUsed/>
    <w:rsid w:val="00C2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461F-469E-436D-A489-E664B82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Viskupič</dc:creator>
  <cp:keywords/>
  <dc:description/>
  <cp:lastModifiedBy>Radoslav Römer</cp:lastModifiedBy>
  <cp:revision>3</cp:revision>
  <dcterms:created xsi:type="dcterms:W3CDTF">2019-08-09T06:25:00Z</dcterms:created>
  <dcterms:modified xsi:type="dcterms:W3CDTF">2019-08-09T06:25:00Z</dcterms:modified>
</cp:coreProperties>
</file>