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3D553" w14:textId="5B7C0A38" w:rsidR="00084189" w:rsidRPr="00084189" w:rsidRDefault="00084189" w:rsidP="00FE3457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084189">
        <w:rPr>
          <w:rFonts w:cstheme="minorHAnsi"/>
          <w:b/>
          <w:bCs/>
          <w:sz w:val="28"/>
          <w:szCs w:val="28"/>
          <w:u w:val="single"/>
        </w:rPr>
        <w:t>Důvodová zpráva k provádění rozpočtových opatření radou města.</w:t>
      </w:r>
    </w:p>
    <w:p w14:paraId="75270E9F" w14:textId="77777777" w:rsidR="00084189" w:rsidRDefault="00084189" w:rsidP="00FE345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436865E" w14:textId="53FB9244" w:rsidR="00CD2C49" w:rsidRPr="00FC02B2" w:rsidRDefault="00FE3457" w:rsidP="00FE345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C02B2">
        <w:rPr>
          <w:rFonts w:cstheme="minorHAnsi"/>
          <w:b/>
          <w:bCs/>
          <w:sz w:val="24"/>
          <w:szCs w:val="24"/>
        </w:rPr>
        <w:t xml:space="preserve">V roce 2009 ZM vydalo předpis č. 1/2009 „Organizační řád Města </w:t>
      </w:r>
      <w:proofErr w:type="spellStart"/>
      <w:r w:rsidRPr="00FC02B2">
        <w:rPr>
          <w:rFonts w:cstheme="minorHAnsi"/>
          <w:b/>
          <w:bCs/>
          <w:sz w:val="24"/>
          <w:szCs w:val="24"/>
        </w:rPr>
        <w:t>Příbora</w:t>
      </w:r>
      <w:proofErr w:type="spellEnd"/>
      <w:r w:rsidRPr="00FC02B2">
        <w:rPr>
          <w:rFonts w:cstheme="minorHAnsi"/>
          <w:b/>
          <w:bCs/>
          <w:sz w:val="24"/>
          <w:szCs w:val="24"/>
        </w:rPr>
        <w:t>“.</w:t>
      </w:r>
    </w:p>
    <w:p w14:paraId="5B5A6FFE" w14:textId="77AB18AB" w:rsidR="00FE3457" w:rsidRPr="00FC02B2" w:rsidRDefault="00FE3457" w:rsidP="00FE345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C02B2">
        <w:rPr>
          <w:rFonts w:cstheme="minorHAnsi"/>
          <w:b/>
          <w:bCs/>
          <w:sz w:val="24"/>
          <w:szCs w:val="24"/>
        </w:rPr>
        <w:t>V předpisu bylo mimo jiné stanoven rozsah oprávnění RM provádět rozpočtová opatření.</w:t>
      </w:r>
    </w:p>
    <w:p w14:paraId="79DE5F97" w14:textId="13617555" w:rsidR="00FE3457" w:rsidRPr="00FC02B2" w:rsidRDefault="00FE3457" w:rsidP="00FE345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C02B2">
        <w:rPr>
          <w:rFonts w:cstheme="minorHAnsi"/>
          <w:b/>
          <w:bCs/>
          <w:sz w:val="24"/>
          <w:szCs w:val="24"/>
        </w:rPr>
        <w:t xml:space="preserve">Předpis byl na 21. zasedání ZM dne 28.03.2017 usnesením č. 21/8/8/1 zrušen a ZM stanovilo nově </w:t>
      </w:r>
      <w:r w:rsidR="006076A8" w:rsidRPr="00FC02B2">
        <w:rPr>
          <w:rFonts w:cstheme="minorHAnsi"/>
          <w:b/>
          <w:bCs/>
          <w:sz w:val="24"/>
          <w:szCs w:val="24"/>
        </w:rPr>
        <w:t xml:space="preserve">usnesením </w:t>
      </w:r>
      <w:r w:rsidRPr="00FC02B2">
        <w:rPr>
          <w:rFonts w:cstheme="minorHAnsi"/>
          <w:b/>
          <w:bCs/>
          <w:sz w:val="24"/>
          <w:szCs w:val="24"/>
        </w:rPr>
        <w:t>rozsah oprávnění RM provádět rozpočtová opatření v rozsahu dle důvodové zprávy – níže text</w:t>
      </w:r>
      <w:r w:rsidR="00454D93" w:rsidRPr="00FC02B2">
        <w:rPr>
          <w:rFonts w:cstheme="minorHAnsi"/>
          <w:b/>
          <w:bCs/>
          <w:sz w:val="24"/>
          <w:szCs w:val="24"/>
        </w:rPr>
        <w:t xml:space="preserve"> (usnesení </w:t>
      </w:r>
      <w:r w:rsidR="00C402A4">
        <w:rPr>
          <w:rFonts w:cstheme="minorHAnsi"/>
          <w:b/>
          <w:bCs/>
          <w:sz w:val="24"/>
          <w:szCs w:val="24"/>
        </w:rPr>
        <w:t xml:space="preserve">č. </w:t>
      </w:r>
      <w:r w:rsidR="00454D93" w:rsidRPr="00FC02B2">
        <w:rPr>
          <w:rFonts w:cstheme="minorHAnsi"/>
          <w:b/>
          <w:bCs/>
          <w:sz w:val="24"/>
          <w:szCs w:val="24"/>
        </w:rPr>
        <w:t>21/8/8/2).</w:t>
      </w:r>
    </w:p>
    <w:p w14:paraId="39388124" w14:textId="77CF61CC" w:rsidR="00111296" w:rsidRPr="00FC02B2" w:rsidRDefault="00111296" w:rsidP="00FE345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C02B2">
        <w:rPr>
          <w:rFonts w:cstheme="minorHAnsi"/>
          <w:b/>
          <w:bCs/>
          <w:sz w:val="24"/>
          <w:szCs w:val="24"/>
        </w:rPr>
        <w:t xml:space="preserve">Text oprávnění zůstal totožný s textem v „Organizačním řádu Města </w:t>
      </w:r>
      <w:proofErr w:type="spellStart"/>
      <w:r w:rsidRPr="00FC02B2">
        <w:rPr>
          <w:rFonts w:cstheme="minorHAnsi"/>
          <w:b/>
          <w:bCs/>
          <w:sz w:val="24"/>
          <w:szCs w:val="24"/>
        </w:rPr>
        <w:t>Příbora</w:t>
      </w:r>
      <w:proofErr w:type="spellEnd"/>
      <w:r w:rsidRPr="00FC02B2">
        <w:rPr>
          <w:rFonts w:cstheme="minorHAnsi"/>
          <w:b/>
          <w:bCs/>
          <w:sz w:val="24"/>
          <w:szCs w:val="24"/>
        </w:rPr>
        <w:t>“.</w:t>
      </w:r>
    </w:p>
    <w:p w14:paraId="4B515F87" w14:textId="77777777" w:rsidR="00FE3457" w:rsidRPr="00FC02B2" w:rsidRDefault="00FE3457" w:rsidP="00FE345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5E6AB4" w14:textId="77777777" w:rsidR="00FE3457" w:rsidRPr="00FC02B2" w:rsidRDefault="00FE3457" w:rsidP="00FE3457">
      <w:pPr>
        <w:rPr>
          <w:rFonts w:cstheme="minorHAnsi"/>
          <w:b/>
          <w:bCs/>
          <w:i/>
          <w:color w:val="000000"/>
          <w:sz w:val="24"/>
          <w:szCs w:val="24"/>
        </w:rPr>
      </w:pPr>
      <w:r w:rsidRPr="00FC02B2">
        <w:rPr>
          <w:rFonts w:cstheme="minorHAnsi"/>
          <w:b/>
          <w:bCs/>
          <w:i/>
          <w:color w:val="000000"/>
          <w:sz w:val="24"/>
          <w:szCs w:val="24"/>
        </w:rPr>
        <w:t>Stanovilo v souladu s § 102 odst. 2, písm. a) zákona č. 128/2000 Sb. o obcích (obecní zřízení), ve znění pozdějších předpisů rozsah pravomoci rady města k provádění rozpočtových opatření takto:</w:t>
      </w:r>
    </w:p>
    <w:p w14:paraId="1D303F5A" w14:textId="77777777" w:rsidR="00FE3457" w:rsidRPr="00FC02B2" w:rsidRDefault="00FE3457" w:rsidP="00296C2F">
      <w:pPr>
        <w:numPr>
          <w:ilvl w:val="0"/>
          <w:numId w:val="2"/>
        </w:numPr>
        <w:spacing w:after="0" w:line="240" w:lineRule="auto"/>
        <w:ind w:hanging="436"/>
        <w:jc w:val="both"/>
        <w:rPr>
          <w:rFonts w:cstheme="minorHAnsi"/>
          <w:b/>
          <w:bCs/>
          <w:i/>
          <w:color w:val="000000"/>
          <w:sz w:val="24"/>
          <w:szCs w:val="24"/>
        </w:rPr>
      </w:pPr>
      <w:r w:rsidRPr="00FC02B2">
        <w:rPr>
          <w:rFonts w:cstheme="minorHAnsi"/>
          <w:b/>
          <w:bCs/>
          <w:i/>
          <w:color w:val="000000"/>
          <w:sz w:val="24"/>
          <w:szCs w:val="24"/>
        </w:rPr>
        <w:t>bez omezení:</w:t>
      </w:r>
    </w:p>
    <w:p w14:paraId="5EFB2FDE" w14:textId="77777777" w:rsidR="00FE3457" w:rsidRPr="00FC02B2" w:rsidRDefault="00FE3457" w:rsidP="00FE3457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i/>
          <w:color w:val="000000"/>
          <w:sz w:val="24"/>
          <w:szCs w:val="24"/>
        </w:rPr>
      </w:pPr>
      <w:r w:rsidRPr="00FC02B2">
        <w:rPr>
          <w:rFonts w:cstheme="minorHAnsi"/>
          <w:b/>
          <w:bCs/>
          <w:i/>
          <w:sz w:val="24"/>
          <w:szCs w:val="24"/>
        </w:rPr>
        <w:t>rozpočtové</w:t>
      </w:r>
      <w:r w:rsidRPr="00FC02B2">
        <w:rPr>
          <w:rFonts w:cstheme="minorHAnsi"/>
          <w:b/>
          <w:bCs/>
          <w:i/>
          <w:color w:val="000000"/>
          <w:sz w:val="24"/>
          <w:szCs w:val="24"/>
        </w:rPr>
        <w:t xml:space="preserve"> zapojení účelově přidělených finančních prostředků z jiných rozpočtů (státního rozpočtu, rozpočtu kraje, státních fondů atd.),</w:t>
      </w:r>
    </w:p>
    <w:p w14:paraId="65683F1F" w14:textId="77777777" w:rsidR="00FE3457" w:rsidRPr="00FC02B2" w:rsidRDefault="00FE3457" w:rsidP="00296C2F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hanging="436"/>
        <w:jc w:val="both"/>
        <w:rPr>
          <w:rFonts w:cstheme="minorHAnsi"/>
          <w:b/>
          <w:bCs/>
          <w:i/>
          <w:color w:val="000000"/>
          <w:sz w:val="24"/>
          <w:szCs w:val="24"/>
        </w:rPr>
      </w:pPr>
      <w:r w:rsidRPr="00FC02B2">
        <w:rPr>
          <w:rFonts w:cstheme="minorHAnsi"/>
          <w:b/>
          <w:bCs/>
          <w:i/>
          <w:color w:val="000000"/>
          <w:sz w:val="24"/>
          <w:szCs w:val="24"/>
        </w:rPr>
        <w:t>s omezením do 500. tis. Kč včetně:</w:t>
      </w:r>
    </w:p>
    <w:p w14:paraId="6B4A828B" w14:textId="77777777" w:rsidR="00FE3457" w:rsidRPr="00FC02B2" w:rsidRDefault="00FE3457" w:rsidP="00FE3457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i/>
          <w:color w:val="000000"/>
          <w:sz w:val="24"/>
          <w:szCs w:val="24"/>
        </w:rPr>
      </w:pPr>
      <w:r w:rsidRPr="00FC02B2">
        <w:rPr>
          <w:rFonts w:cstheme="minorHAnsi"/>
          <w:b/>
          <w:bCs/>
          <w:i/>
          <w:sz w:val="24"/>
          <w:szCs w:val="24"/>
        </w:rPr>
        <w:t>organizační změny MÚ Příbor,</w:t>
      </w:r>
      <w:r w:rsidRPr="00FC02B2">
        <w:rPr>
          <w:rFonts w:cstheme="minorHAnsi"/>
          <w:b/>
          <w:bCs/>
          <w:i/>
          <w:color w:val="000000"/>
          <w:sz w:val="24"/>
          <w:szCs w:val="24"/>
        </w:rPr>
        <w:t xml:space="preserve"> pokud tyto změny nevyvolávají další nároky na finanční prostředky města (nezvyšuje se celkový rozpočet výdajů města),</w:t>
      </w:r>
    </w:p>
    <w:p w14:paraId="247EF91F" w14:textId="77777777" w:rsidR="00FE3457" w:rsidRPr="00FC02B2" w:rsidRDefault="00FE3457" w:rsidP="00FE3457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FC02B2">
        <w:rPr>
          <w:rFonts w:cstheme="minorHAnsi"/>
          <w:b/>
          <w:bCs/>
          <w:i/>
          <w:color w:val="000000"/>
          <w:sz w:val="24"/>
          <w:szCs w:val="24"/>
        </w:rPr>
        <w:t>použití rezervy města na havarijní a naléhavé účely,</w:t>
      </w:r>
    </w:p>
    <w:p w14:paraId="3627E005" w14:textId="77777777" w:rsidR="00FE3457" w:rsidRPr="00FC02B2" w:rsidRDefault="00FE3457" w:rsidP="00FE3457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FC02B2">
        <w:rPr>
          <w:rFonts w:cstheme="minorHAnsi"/>
          <w:b/>
          <w:bCs/>
          <w:i/>
          <w:sz w:val="24"/>
          <w:szCs w:val="24"/>
        </w:rPr>
        <w:t>změny právních předpisů ovlivňujících výši rozpočtových příjmů nebo výdajů (metodické změny)</w:t>
      </w:r>
    </w:p>
    <w:p w14:paraId="32C9FDC7" w14:textId="77777777" w:rsidR="00FE3457" w:rsidRPr="00FC02B2" w:rsidRDefault="00FE3457" w:rsidP="00FE3457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FC02B2">
        <w:rPr>
          <w:rFonts w:cstheme="minorHAnsi"/>
          <w:b/>
          <w:bCs/>
          <w:i/>
          <w:sz w:val="24"/>
          <w:szCs w:val="24"/>
        </w:rPr>
        <w:t>Změny objektivně působících skutečností ovlivňujících příjmy či výdaje (věcné změny).</w:t>
      </w:r>
    </w:p>
    <w:p w14:paraId="336031AC" w14:textId="34E3D59E" w:rsidR="00FE3457" w:rsidRPr="00FC02B2" w:rsidRDefault="00FE3457" w:rsidP="00FE345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E7C54DB" w14:textId="1AF00132" w:rsidR="00454D93" w:rsidRPr="00FC02B2" w:rsidRDefault="00D32B49" w:rsidP="00FE345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C02B2">
        <w:rPr>
          <w:rFonts w:cstheme="minorHAnsi"/>
          <w:b/>
          <w:bCs/>
          <w:sz w:val="24"/>
          <w:szCs w:val="24"/>
        </w:rPr>
        <w:t xml:space="preserve">V </w:t>
      </w:r>
      <w:r w:rsidR="006076A8" w:rsidRPr="00FC02B2">
        <w:rPr>
          <w:rFonts w:cstheme="minorHAnsi"/>
          <w:b/>
          <w:bCs/>
          <w:sz w:val="24"/>
          <w:szCs w:val="24"/>
        </w:rPr>
        <w:t xml:space="preserve">souvislosti s prováděním rozpočtových opatření </w:t>
      </w:r>
      <w:r w:rsidRPr="00FC02B2">
        <w:rPr>
          <w:rFonts w:cstheme="minorHAnsi"/>
          <w:b/>
          <w:bCs/>
          <w:sz w:val="24"/>
          <w:szCs w:val="24"/>
        </w:rPr>
        <w:t xml:space="preserve">v závěru roku 2019 </w:t>
      </w:r>
      <w:r w:rsidR="00454D93" w:rsidRPr="00FC02B2">
        <w:rPr>
          <w:rFonts w:cstheme="minorHAnsi"/>
          <w:b/>
          <w:bCs/>
          <w:sz w:val="24"/>
          <w:szCs w:val="24"/>
        </w:rPr>
        <w:t>byly zjištěny následující skutečnosti:</w:t>
      </w:r>
    </w:p>
    <w:p w14:paraId="7E57DB09" w14:textId="77777777" w:rsidR="00454D93" w:rsidRPr="00FC02B2" w:rsidRDefault="00454D93" w:rsidP="00454D93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C02B2">
        <w:rPr>
          <w:rFonts w:cstheme="minorHAnsi"/>
          <w:b/>
          <w:bCs/>
          <w:sz w:val="24"/>
          <w:szCs w:val="24"/>
        </w:rPr>
        <w:t>provést revizi výše uvedeného usnesení,</w:t>
      </w:r>
    </w:p>
    <w:p w14:paraId="2386ECA9" w14:textId="4235A5F3" w:rsidR="00FE3457" w:rsidRPr="00FC02B2" w:rsidRDefault="00454D93" w:rsidP="00454D93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C02B2">
        <w:rPr>
          <w:rFonts w:cstheme="minorHAnsi"/>
          <w:b/>
          <w:bCs/>
          <w:sz w:val="24"/>
          <w:szCs w:val="24"/>
        </w:rPr>
        <w:t>zvážit, zda částka 500,00 tis. Kč je dostat</w:t>
      </w:r>
      <w:r w:rsidR="008C4B4E" w:rsidRPr="00FC02B2">
        <w:rPr>
          <w:rFonts w:cstheme="minorHAnsi"/>
          <w:b/>
          <w:bCs/>
          <w:sz w:val="24"/>
          <w:szCs w:val="24"/>
        </w:rPr>
        <w:t>e</w:t>
      </w:r>
      <w:r w:rsidRPr="00FC02B2">
        <w:rPr>
          <w:rFonts w:cstheme="minorHAnsi"/>
          <w:b/>
          <w:bCs/>
          <w:sz w:val="24"/>
          <w:szCs w:val="24"/>
        </w:rPr>
        <w:t>čná,</w:t>
      </w:r>
    </w:p>
    <w:p w14:paraId="3D14AF10" w14:textId="654EDB29" w:rsidR="00454D93" w:rsidRPr="00FC02B2" w:rsidRDefault="006076A8" w:rsidP="00454D93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C02B2">
        <w:rPr>
          <w:rFonts w:cstheme="minorHAnsi"/>
          <w:b/>
          <w:bCs/>
          <w:sz w:val="24"/>
          <w:szCs w:val="24"/>
        </w:rPr>
        <w:t>zvážit a popřípadě upravit texty jednotlivých oprávnění</w:t>
      </w:r>
      <w:r w:rsidR="00D32B49" w:rsidRPr="00FC02B2">
        <w:rPr>
          <w:rFonts w:cstheme="minorHAnsi"/>
          <w:b/>
          <w:bCs/>
          <w:sz w:val="24"/>
          <w:szCs w:val="24"/>
        </w:rPr>
        <w:t xml:space="preserve"> RM.</w:t>
      </w:r>
    </w:p>
    <w:p w14:paraId="34F35552" w14:textId="5C54D639" w:rsidR="00FE3457" w:rsidRPr="00FC02B2" w:rsidRDefault="00FE3457" w:rsidP="00FE345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DAB33C8" w14:textId="6BEE48C9" w:rsidR="00111296" w:rsidRPr="00FC02B2" w:rsidRDefault="00111296" w:rsidP="00FE3457">
      <w:pPr>
        <w:spacing w:after="0" w:line="240" w:lineRule="auto"/>
        <w:rPr>
          <w:rFonts w:cstheme="minorHAnsi"/>
          <w:sz w:val="24"/>
          <w:szCs w:val="24"/>
        </w:rPr>
      </w:pPr>
    </w:p>
    <w:p w14:paraId="2F6B2BA6" w14:textId="15E82016" w:rsidR="00111296" w:rsidRPr="00FC02B2" w:rsidRDefault="00111296" w:rsidP="00FE3457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FC02B2">
        <w:rPr>
          <w:rFonts w:cstheme="minorHAnsi"/>
          <w:b/>
          <w:bCs/>
          <w:sz w:val="24"/>
          <w:szCs w:val="24"/>
          <w:u w:val="single"/>
        </w:rPr>
        <w:t>Definice rozpočtového opatření</w:t>
      </w:r>
      <w:r w:rsidR="001570AC" w:rsidRPr="00FC02B2">
        <w:rPr>
          <w:rFonts w:cstheme="minorHAnsi"/>
          <w:b/>
          <w:bCs/>
          <w:sz w:val="24"/>
          <w:szCs w:val="24"/>
          <w:u w:val="single"/>
        </w:rPr>
        <w:t xml:space="preserve">, </w:t>
      </w:r>
      <w:r w:rsidRPr="00FC02B2">
        <w:rPr>
          <w:rFonts w:cstheme="minorHAnsi"/>
          <w:b/>
          <w:bCs/>
          <w:sz w:val="24"/>
          <w:szCs w:val="24"/>
          <w:u w:val="single"/>
        </w:rPr>
        <w:t>právní rámec</w:t>
      </w:r>
      <w:r w:rsidR="001570AC" w:rsidRPr="00FC02B2">
        <w:rPr>
          <w:rFonts w:cstheme="minorHAnsi"/>
          <w:b/>
          <w:bCs/>
          <w:sz w:val="24"/>
          <w:szCs w:val="24"/>
          <w:u w:val="single"/>
        </w:rPr>
        <w:t xml:space="preserve"> a metodika</w:t>
      </w:r>
    </w:p>
    <w:p w14:paraId="334BD744" w14:textId="500E2B6F" w:rsidR="00111296" w:rsidRPr="00FC02B2" w:rsidRDefault="00111296" w:rsidP="0011129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C02B2">
        <w:rPr>
          <w:rFonts w:eastAsia="Times New Roman" w:cstheme="minorHAnsi"/>
          <w:sz w:val="24"/>
          <w:szCs w:val="24"/>
          <w:lang w:eastAsia="cs-CZ"/>
        </w:rPr>
        <w:t xml:space="preserve">Prostřednictvím rozpočtových opatření se provádí změny rozpočtu v průběhu kalendářního roku. Evidují se podle časové posloupnosti. </w:t>
      </w:r>
    </w:p>
    <w:p w14:paraId="7F8E29E2" w14:textId="77777777" w:rsidR="00111296" w:rsidRPr="00FC02B2" w:rsidRDefault="00111296" w:rsidP="0011129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C02B2">
        <w:rPr>
          <w:rFonts w:eastAsia="Times New Roman" w:cstheme="minorHAnsi"/>
          <w:sz w:val="24"/>
          <w:szCs w:val="24"/>
          <w:lang w:eastAsia="cs-CZ"/>
        </w:rPr>
        <w:t xml:space="preserve">Rozpočtovým opatřením je: </w:t>
      </w:r>
    </w:p>
    <w:p w14:paraId="0BE9CFAC" w14:textId="77777777" w:rsidR="00111296" w:rsidRPr="00FC02B2" w:rsidRDefault="00111296" w:rsidP="00296C2F">
      <w:pPr>
        <w:numPr>
          <w:ilvl w:val="0"/>
          <w:numId w:val="4"/>
        </w:numPr>
        <w:spacing w:before="100" w:beforeAutospacing="1" w:after="100" w:afterAutospacing="1" w:line="240" w:lineRule="auto"/>
        <w:ind w:hanging="436"/>
        <w:rPr>
          <w:rFonts w:eastAsia="Times New Roman" w:cstheme="minorHAnsi"/>
          <w:sz w:val="24"/>
          <w:szCs w:val="24"/>
          <w:lang w:eastAsia="cs-CZ"/>
        </w:rPr>
      </w:pPr>
      <w:r w:rsidRPr="00FC02B2">
        <w:rPr>
          <w:rFonts w:eastAsia="Times New Roman" w:cstheme="minorHAnsi"/>
          <w:sz w:val="24"/>
          <w:szCs w:val="24"/>
          <w:lang w:eastAsia="cs-CZ"/>
        </w:rPr>
        <w:t xml:space="preserve">přesun rozpočtových prostředků mezi jednotlivými příjmy nebo výdaji bez dopadu na celkový objem rozpočtu nebo schválený rozdíl celkových příjmů a výdajů, </w:t>
      </w:r>
    </w:p>
    <w:p w14:paraId="23D0A3AC" w14:textId="77777777" w:rsidR="00111296" w:rsidRPr="00FC02B2" w:rsidRDefault="00111296" w:rsidP="00296C2F">
      <w:pPr>
        <w:numPr>
          <w:ilvl w:val="0"/>
          <w:numId w:val="4"/>
        </w:numPr>
        <w:spacing w:before="100" w:beforeAutospacing="1" w:after="100" w:afterAutospacing="1" w:line="240" w:lineRule="auto"/>
        <w:ind w:hanging="436"/>
        <w:rPr>
          <w:rFonts w:eastAsia="Times New Roman" w:cstheme="minorHAnsi"/>
          <w:sz w:val="24"/>
          <w:szCs w:val="24"/>
          <w:lang w:eastAsia="cs-CZ"/>
        </w:rPr>
      </w:pPr>
      <w:r w:rsidRPr="00FC02B2">
        <w:rPr>
          <w:rFonts w:eastAsia="Times New Roman" w:cstheme="minorHAnsi"/>
          <w:sz w:val="24"/>
          <w:szCs w:val="24"/>
          <w:lang w:eastAsia="cs-CZ"/>
        </w:rPr>
        <w:t xml:space="preserve">použití nových, rozpočtem nepředvídaných příjmů k úhradě nových výdajů, čímž se zvýší celkový objem rozpočtu, </w:t>
      </w:r>
    </w:p>
    <w:p w14:paraId="1623BB14" w14:textId="77777777" w:rsidR="00111296" w:rsidRPr="00FC02B2" w:rsidRDefault="00111296" w:rsidP="00296C2F">
      <w:pPr>
        <w:numPr>
          <w:ilvl w:val="0"/>
          <w:numId w:val="4"/>
        </w:numPr>
        <w:spacing w:before="100" w:beforeAutospacing="1" w:after="100" w:afterAutospacing="1" w:line="240" w:lineRule="auto"/>
        <w:ind w:hanging="436"/>
        <w:rPr>
          <w:rFonts w:eastAsia="Times New Roman" w:cstheme="minorHAnsi"/>
          <w:sz w:val="24"/>
          <w:szCs w:val="24"/>
          <w:lang w:eastAsia="cs-CZ"/>
        </w:rPr>
      </w:pPr>
      <w:r w:rsidRPr="00FC02B2">
        <w:rPr>
          <w:rFonts w:eastAsia="Times New Roman" w:cstheme="minorHAnsi"/>
          <w:sz w:val="24"/>
          <w:szCs w:val="24"/>
          <w:lang w:eastAsia="cs-CZ"/>
        </w:rPr>
        <w:t xml:space="preserve">vázání rozpočtových výdajů, jestliže je ohroženo neplnění rozpočtových příjmů; tímto opatřením se objem rozpočtu snižuje. </w:t>
      </w:r>
    </w:p>
    <w:p w14:paraId="5AF12E2B" w14:textId="77777777" w:rsidR="00FC02B2" w:rsidRDefault="00FC02B2" w:rsidP="0011129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3CCAD94" w14:textId="03BBE948" w:rsidR="00111296" w:rsidRPr="00FC02B2" w:rsidRDefault="00111296" w:rsidP="0011129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C02B2">
        <w:rPr>
          <w:rFonts w:eastAsia="Times New Roman" w:cstheme="minorHAnsi"/>
          <w:sz w:val="24"/>
          <w:szCs w:val="24"/>
          <w:lang w:eastAsia="cs-CZ"/>
        </w:rPr>
        <w:lastRenderedPageBreak/>
        <w:t xml:space="preserve">Rozpočtová opatření se uskutečňují povinně: </w:t>
      </w:r>
    </w:p>
    <w:p w14:paraId="0E2BF344" w14:textId="77777777" w:rsidR="00111296" w:rsidRPr="00FC02B2" w:rsidRDefault="00111296" w:rsidP="001112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C02B2">
        <w:rPr>
          <w:rFonts w:eastAsia="Times New Roman" w:cstheme="minorHAnsi"/>
          <w:sz w:val="24"/>
          <w:szCs w:val="24"/>
          <w:lang w:eastAsia="cs-CZ"/>
        </w:rPr>
        <w:t xml:space="preserve">jde-li o změny ve finančních vztazích k jinému rozpočtu (např. dotace, transfery), </w:t>
      </w:r>
    </w:p>
    <w:p w14:paraId="47202BC7" w14:textId="77777777" w:rsidR="00111296" w:rsidRPr="00FC02B2" w:rsidRDefault="00111296" w:rsidP="001112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C02B2">
        <w:rPr>
          <w:rFonts w:eastAsia="Times New Roman" w:cstheme="minorHAnsi"/>
          <w:sz w:val="24"/>
          <w:szCs w:val="24"/>
          <w:lang w:eastAsia="cs-CZ"/>
        </w:rPr>
        <w:t xml:space="preserve">jde-li o změny závazných ukazatelů vůči jiným osobám (např. příspěvky zřízeným příspěvkovým organizacím), </w:t>
      </w:r>
    </w:p>
    <w:p w14:paraId="74097E92" w14:textId="77777777" w:rsidR="00531422" w:rsidRPr="00FC02B2" w:rsidRDefault="00111296" w:rsidP="005314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C02B2">
        <w:rPr>
          <w:rFonts w:eastAsia="Times New Roman" w:cstheme="minorHAnsi"/>
          <w:sz w:val="24"/>
          <w:szCs w:val="24"/>
          <w:lang w:eastAsia="cs-CZ"/>
        </w:rPr>
        <w:t xml:space="preserve">hrozí-li nebezpečí vzniku rozpočtového schodku. </w:t>
      </w:r>
    </w:p>
    <w:p w14:paraId="56C05C8F" w14:textId="4054107E" w:rsidR="00E8319F" w:rsidRPr="00FC02B2" w:rsidRDefault="00E8319F" w:rsidP="0053142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C02B2">
        <w:rPr>
          <w:rFonts w:cstheme="minorHAnsi"/>
          <w:sz w:val="24"/>
          <w:szCs w:val="24"/>
          <w:u w:val="single"/>
        </w:rPr>
        <w:t>Právní rámec:</w:t>
      </w:r>
    </w:p>
    <w:p w14:paraId="68D9494C" w14:textId="7C375865" w:rsidR="00111296" w:rsidRPr="00FC02B2" w:rsidRDefault="00111296" w:rsidP="00C66585">
      <w:pPr>
        <w:spacing w:after="0" w:line="240" w:lineRule="auto"/>
        <w:rPr>
          <w:rFonts w:cstheme="minorHAnsi"/>
          <w:sz w:val="24"/>
          <w:szCs w:val="24"/>
        </w:rPr>
      </w:pPr>
      <w:r w:rsidRPr="00FC02B2">
        <w:rPr>
          <w:rFonts w:cstheme="minorHAnsi"/>
          <w:sz w:val="24"/>
          <w:szCs w:val="24"/>
        </w:rPr>
        <w:t>§ 16 zákona č. 250/2000 Sb., o rozpočtových pravidlech územních rozpočtů</w:t>
      </w:r>
    </w:p>
    <w:p w14:paraId="01347368" w14:textId="77777777" w:rsidR="001570AC" w:rsidRPr="00FC02B2" w:rsidRDefault="001570AC" w:rsidP="00C6658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505085B8" w14:textId="2A3653AA" w:rsidR="006D0E04" w:rsidRPr="00FC02B2" w:rsidRDefault="006D0E04" w:rsidP="00C6658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C02B2">
        <w:rPr>
          <w:rFonts w:eastAsia="Times New Roman" w:cstheme="minorHAnsi"/>
          <w:color w:val="000000"/>
          <w:sz w:val="24"/>
          <w:szCs w:val="24"/>
          <w:lang w:eastAsia="cs-CZ"/>
        </w:rPr>
        <w:t>§ 84</w:t>
      </w:r>
      <w:r w:rsidR="00C66585" w:rsidRPr="00FC02B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FC02B2">
        <w:rPr>
          <w:rFonts w:eastAsia="Times New Roman" w:cstheme="minorHAnsi"/>
          <w:color w:val="000000"/>
          <w:sz w:val="24"/>
          <w:szCs w:val="24"/>
          <w:lang w:eastAsia="cs-CZ"/>
        </w:rPr>
        <w:t>(2), písm. b</w:t>
      </w:r>
      <w:r w:rsidR="00C66585" w:rsidRPr="00FC02B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) </w:t>
      </w:r>
      <w:r w:rsidRPr="00FC02B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zákona č. 128/2000 Sb., zákon o obcích (zastupitelstvu obce je vyhrazeno </w:t>
      </w:r>
    </w:p>
    <w:p w14:paraId="7E93663B" w14:textId="21E2CEA3" w:rsidR="006D0E04" w:rsidRPr="00FC02B2" w:rsidRDefault="006D0E04" w:rsidP="00C6658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C02B2">
        <w:rPr>
          <w:rFonts w:eastAsia="Times New Roman" w:cstheme="minorHAnsi"/>
          <w:color w:val="000000"/>
          <w:sz w:val="24"/>
          <w:szCs w:val="24"/>
          <w:lang w:eastAsia="cs-CZ"/>
        </w:rPr>
        <w:t>b) schvalovat rozpočet obce, závěrečný účet obce a účetní závěrku obce sestavenou k rozvahovému dni</w:t>
      </w:r>
      <w:r w:rsidR="00C66585" w:rsidRPr="00FC02B2">
        <w:rPr>
          <w:rFonts w:eastAsia="Times New Roman" w:cstheme="minorHAnsi"/>
          <w:color w:val="000000"/>
          <w:sz w:val="24"/>
          <w:szCs w:val="24"/>
          <w:lang w:eastAsia="cs-CZ"/>
        </w:rPr>
        <w:t>),</w:t>
      </w:r>
    </w:p>
    <w:p w14:paraId="3686FD66" w14:textId="77777777" w:rsidR="001570AC" w:rsidRPr="00FC02B2" w:rsidRDefault="001570AC" w:rsidP="00C66585">
      <w:pPr>
        <w:pStyle w:val="l41"/>
        <w:spacing w:before="0" w:after="0"/>
        <w:rPr>
          <w:rFonts w:asciiTheme="minorHAnsi" w:hAnsiTheme="minorHAnsi" w:cstheme="minorHAnsi"/>
          <w:color w:val="000000"/>
        </w:rPr>
      </w:pPr>
    </w:p>
    <w:p w14:paraId="1EAE3588" w14:textId="57782096" w:rsidR="00C66585" w:rsidRPr="00FC02B2" w:rsidRDefault="00C66585" w:rsidP="00C66585">
      <w:pPr>
        <w:pStyle w:val="l41"/>
        <w:spacing w:before="0" w:after="0"/>
        <w:rPr>
          <w:rFonts w:asciiTheme="minorHAnsi" w:hAnsiTheme="minorHAnsi" w:cstheme="minorHAnsi"/>
          <w:color w:val="000000"/>
        </w:rPr>
      </w:pPr>
      <w:r w:rsidRPr="00FC02B2">
        <w:rPr>
          <w:rFonts w:asciiTheme="minorHAnsi" w:hAnsiTheme="minorHAnsi" w:cstheme="minorHAnsi"/>
          <w:color w:val="000000"/>
        </w:rPr>
        <w:t>§ 102 (2), písm. a) zákona č. 128/2000 Sb., zákon o obcích (radě obce je vyhrazeno</w:t>
      </w:r>
    </w:p>
    <w:p w14:paraId="1C4866F8" w14:textId="2DD8F8CA" w:rsidR="00C66585" w:rsidRPr="00FC02B2" w:rsidRDefault="00C66585" w:rsidP="00C66585">
      <w:pPr>
        <w:pStyle w:val="l61"/>
        <w:spacing w:before="0" w:after="0"/>
        <w:rPr>
          <w:rFonts w:asciiTheme="minorHAnsi" w:hAnsiTheme="minorHAnsi" w:cstheme="minorHAnsi"/>
          <w:color w:val="000000"/>
        </w:rPr>
      </w:pPr>
      <w:r w:rsidRPr="00FC02B2">
        <w:rPr>
          <w:rFonts w:asciiTheme="minorHAnsi" w:hAnsiTheme="minorHAnsi" w:cstheme="minorHAnsi"/>
          <w:color w:val="000000"/>
        </w:rPr>
        <w:t>a) zabezpečovat hospodaření obce podle schváleného rozpočtu, provádět rozpočtová opatření v rozsahu stanoveném zastupitelstvem obce).</w:t>
      </w:r>
    </w:p>
    <w:p w14:paraId="48E67BCB" w14:textId="77777777" w:rsidR="006D0E04" w:rsidRPr="00FC02B2" w:rsidRDefault="006D0E04" w:rsidP="00FE3457">
      <w:pPr>
        <w:spacing w:after="0" w:line="240" w:lineRule="auto"/>
        <w:rPr>
          <w:rFonts w:cstheme="minorHAnsi"/>
          <w:sz w:val="24"/>
          <w:szCs w:val="24"/>
        </w:rPr>
      </w:pPr>
    </w:p>
    <w:p w14:paraId="57FE56EC" w14:textId="7A66E734" w:rsidR="00E8319F" w:rsidRPr="00FC02B2" w:rsidRDefault="00E8319F" w:rsidP="00FE3457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FC02B2">
        <w:rPr>
          <w:rFonts w:cstheme="minorHAnsi"/>
          <w:sz w:val="24"/>
          <w:szCs w:val="24"/>
          <w:u w:val="single"/>
        </w:rPr>
        <w:t>Metodika:</w:t>
      </w:r>
    </w:p>
    <w:p w14:paraId="5BE03162" w14:textId="77777777" w:rsidR="001570AC" w:rsidRPr="00FC02B2" w:rsidRDefault="001570AC" w:rsidP="00FE3457">
      <w:pPr>
        <w:spacing w:after="0" w:line="240" w:lineRule="auto"/>
        <w:rPr>
          <w:rFonts w:cstheme="minorHAnsi"/>
          <w:sz w:val="24"/>
          <w:szCs w:val="24"/>
        </w:rPr>
      </w:pPr>
    </w:p>
    <w:p w14:paraId="437F77D3" w14:textId="73B402E6" w:rsidR="00111296" w:rsidRPr="00FC02B2" w:rsidRDefault="00111296" w:rsidP="00FE3457">
      <w:pPr>
        <w:spacing w:after="0" w:line="240" w:lineRule="auto"/>
        <w:rPr>
          <w:rFonts w:cstheme="minorHAnsi"/>
          <w:sz w:val="24"/>
          <w:szCs w:val="24"/>
        </w:rPr>
      </w:pPr>
      <w:r w:rsidRPr="00FC02B2">
        <w:rPr>
          <w:rFonts w:cstheme="minorHAnsi"/>
          <w:sz w:val="24"/>
          <w:szCs w:val="24"/>
        </w:rPr>
        <w:t xml:space="preserve">Rozpočtová opatření provádí rada </w:t>
      </w:r>
      <w:r w:rsidRPr="002D6625">
        <w:rPr>
          <w:rFonts w:cstheme="minorHAnsi"/>
          <w:sz w:val="24"/>
          <w:szCs w:val="24"/>
        </w:rPr>
        <w:t xml:space="preserve">(kde není rada, </w:t>
      </w:r>
      <w:r w:rsidRPr="00FC02B2">
        <w:rPr>
          <w:rFonts w:cstheme="minorHAnsi"/>
          <w:sz w:val="24"/>
          <w:szCs w:val="24"/>
        </w:rPr>
        <w:t>starosta) v rozsahu, ve kterém jej pověřilo zastupitelstvo obce (§ 102 zákona č. 128/2000 Sb., o obcích).</w:t>
      </w:r>
      <w:r w:rsidRPr="00FC02B2">
        <w:rPr>
          <w:rFonts w:cstheme="minorHAnsi"/>
          <w:sz w:val="24"/>
          <w:szCs w:val="24"/>
        </w:rPr>
        <w:br/>
        <w:t>V případě, že radě nebyl vymezen rozsah provádění rozpočtových opatření, provádí změnu závazných ukazatelů rozpočtu zastupitelstvo obce.</w:t>
      </w:r>
    </w:p>
    <w:p w14:paraId="48BFFA12" w14:textId="7DACEDD2" w:rsidR="006D0E04" w:rsidRPr="00FC02B2" w:rsidRDefault="006D0E04" w:rsidP="006D0E04">
      <w:pPr>
        <w:pStyle w:val="generatedp"/>
        <w:shd w:val="clear" w:color="auto" w:fill="FFFFFF"/>
        <w:rPr>
          <w:rFonts w:asciiTheme="minorHAnsi" w:hAnsiTheme="minorHAnsi" w:cstheme="minorHAnsi"/>
          <w:color w:val="000000"/>
        </w:rPr>
      </w:pPr>
      <w:r w:rsidRPr="00FC02B2">
        <w:rPr>
          <w:rFonts w:asciiTheme="minorHAnsi" w:hAnsiTheme="minorHAnsi" w:cstheme="minorHAnsi"/>
          <w:color w:val="000000"/>
        </w:rPr>
        <w:t xml:space="preserve">Rada obce je dle § 102 odst. 2 písm. a) zákona č. 128/2000 Sb., o obcích (obecní zřízení), ve znění pozdějších předpisů (dále jen „zákon o obcích“), oprávněna „samostatně“ hospodařit v mezích zastupitelstvem schváleného rozpočtu. Podle téhož ustanovení je však rada obce oprávněna provádět rozpočtová opatření v rozsahu stanoveném zastupitelstvem. To znamená, že zastupitelstvo může stanovit, že určitá rozpočtová opatření ve smyslu § 16 odst. 3 zákona o rozpočtových pravidlech územních rozpočtů bude namísto něj oprávněna provádět (v rozsahu zastupitelstvem stanoveném) rada obce. </w:t>
      </w:r>
    </w:p>
    <w:p w14:paraId="07E963A0" w14:textId="0FC6D128" w:rsidR="006D0E04" w:rsidRPr="00FC02B2" w:rsidRDefault="006D0E04" w:rsidP="006D0E04">
      <w:pPr>
        <w:pStyle w:val="generatedp"/>
        <w:shd w:val="clear" w:color="auto" w:fill="FFFFFF"/>
        <w:rPr>
          <w:rFonts w:asciiTheme="minorHAnsi" w:hAnsiTheme="minorHAnsi" w:cstheme="minorHAnsi"/>
          <w:color w:val="000000"/>
        </w:rPr>
      </w:pPr>
      <w:r w:rsidRPr="00FC02B2">
        <w:rPr>
          <w:rFonts w:asciiTheme="minorHAnsi" w:hAnsiTheme="minorHAnsi" w:cstheme="minorHAnsi"/>
          <w:color w:val="000000"/>
        </w:rPr>
        <w:t xml:space="preserve">Pokud však zastupitelstvo obce příslušný rozsah nevymezí </w:t>
      </w:r>
      <w:r w:rsidR="00C402A4">
        <w:rPr>
          <w:rFonts w:asciiTheme="minorHAnsi" w:hAnsiTheme="minorHAnsi" w:cstheme="minorHAnsi"/>
          <w:color w:val="000000"/>
        </w:rPr>
        <w:t>/</w:t>
      </w:r>
      <w:r w:rsidRPr="00FC02B2">
        <w:rPr>
          <w:rFonts w:asciiTheme="minorHAnsi" w:hAnsiTheme="minorHAnsi" w:cstheme="minorHAnsi"/>
          <w:color w:val="000000"/>
        </w:rPr>
        <w:t>resp. „nepověří“ radu provádět rozpočtová opatření, protože zastupitelstvo může svěřit radě provádění rozpočtových opatření podle § 102 odst. 2 písm. a</w:t>
      </w:r>
      <w:r w:rsidR="00C402A4">
        <w:rPr>
          <w:rFonts w:asciiTheme="minorHAnsi" w:hAnsiTheme="minorHAnsi" w:cstheme="minorHAnsi"/>
          <w:color w:val="000000"/>
        </w:rPr>
        <w:t>)</w:t>
      </w:r>
      <w:r w:rsidRPr="00FC02B2">
        <w:rPr>
          <w:rFonts w:asciiTheme="minorHAnsi" w:hAnsiTheme="minorHAnsi" w:cstheme="minorHAnsi"/>
          <w:color w:val="000000"/>
        </w:rPr>
        <w:t xml:space="preserve"> zákona o obcích bez omezení</w:t>
      </w:r>
      <w:r w:rsidR="00C402A4">
        <w:rPr>
          <w:rFonts w:asciiTheme="minorHAnsi" w:hAnsiTheme="minorHAnsi" w:cstheme="minorHAnsi"/>
          <w:color w:val="000000"/>
        </w:rPr>
        <w:t>/</w:t>
      </w:r>
      <w:r w:rsidRPr="00FC02B2">
        <w:rPr>
          <w:rFonts w:asciiTheme="minorHAnsi" w:hAnsiTheme="minorHAnsi" w:cstheme="minorHAnsi"/>
          <w:color w:val="000000"/>
        </w:rPr>
        <w:t>, může rada obce v rámci své kompetence hospodaření dle schváleného rozpočtu samostatně schvalovat a provádět pouze taková rozpočtová opatření, která nemění závazné ukazatele původně schváleného rozpočtu, tj. opatření, která nevycházejí z rozsahu změn dle § 16 zákona č. 250/2000 Sb.</w:t>
      </w:r>
    </w:p>
    <w:p w14:paraId="503DF30E" w14:textId="230A32F1" w:rsidR="006D0E04" w:rsidRPr="00FC02B2" w:rsidRDefault="006D0E04" w:rsidP="00FE3457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C02B2">
        <w:rPr>
          <w:rFonts w:cstheme="minorHAnsi"/>
          <w:color w:val="000000"/>
          <w:sz w:val="24"/>
          <w:szCs w:val="24"/>
        </w:rPr>
        <w:t xml:space="preserve">Pokud zastupitelstvo obce vymezí určitý rozsah rozpočtových opatření ve smyslu § 16 zákona č. 250/2000 Sb., jimiž dochází ke změnám závazných ukazatelů rozpočtu obce, který svěří k provádění radě obce, pak je s ohledem na dikci § 102 odst. 2 písm. a) zákona o obcích rada obce oprávněna samostatně schvalovat a provádět též rozpočtová opatření, která mění závazné ukazatele původně schváleného rozpočtu, avšak pouze v zastupitelstvem obce vymezeném rozsahu. Rozpočtová opatření, jimiž dochází ke změnám rozpočtu dle § 16 </w:t>
      </w:r>
      <w:r w:rsidRPr="00FC02B2">
        <w:rPr>
          <w:rFonts w:cstheme="minorHAnsi"/>
          <w:color w:val="000000"/>
          <w:sz w:val="24"/>
          <w:szCs w:val="24"/>
        </w:rPr>
        <w:lastRenderedPageBreak/>
        <w:t>zákona č. 250/2000 Sb., která přesahují zastupitelstvem vymezený rozsah svěřený k rozhodování radě obce, však již podléhají schválení zastupitelstva obce.</w:t>
      </w:r>
    </w:p>
    <w:p w14:paraId="55E9B551" w14:textId="77777777" w:rsidR="009D7F6B" w:rsidRPr="00FC02B2" w:rsidRDefault="009D7F6B" w:rsidP="00C66585">
      <w:pPr>
        <w:rPr>
          <w:rFonts w:cstheme="minorHAnsi"/>
          <w:color w:val="000000"/>
          <w:sz w:val="24"/>
          <w:szCs w:val="24"/>
        </w:rPr>
      </w:pPr>
    </w:p>
    <w:p w14:paraId="0C36C5A1" w14:textId="79EEB6DA" w:rsidR="00C66585" w:rsidRPr="00FC02B2" w:rsidRDefault="001570AC" w:rsidP="00C66585">
      <w:pPr>
        <w:rPr>
          <w:rFonts w:cstheme="minorHAnsi"/>
          <w:b/>
          <w:bCs/>
          <w:iCs/>
          <w:color w:val="000000"/>
          <w:sz w:val="24"/>
          <w:szCs w:val="24"/>
          <w:u w:val="single"/>
        </w:rPr>
      </w:pPr>
      <w:r w:rsidRPr="00FC02B2">
        <w:rPr>
          <w:rFonts w:cstheme="minorHAnsi"/>
          <w:b/>
          <w:bCs/>
          <w:iCs/>
          <w:color w:val="000000"/>
          <w:sz w:val="24"/>
          <w:szCs w:val="24"/>
          <w:u w:val="single"/>
        </w:rPr>
        <w:t>Stávající</w:t>
      </w:r>
      <w:r w:rsidR="00C66585" w:rsidRPr="00FC02B2">
        <w:rPr>
          <w:rFonts w:cstheme="minorHAnsi"/>
          <w:b/>
          <w:bCs/>
          <w:iCs/>
          <w:color w:val="000000"/>
          <w:sz w:val="24"/>
          <w:szCs w:val="24"/>
          <w:u w:val="single"/>
        </w:rPr>
        <w:t xml:space="preserve"> rozsah pravomoci rady města k provádění rozpočtových opatření</w:t>
      </w:r>
      <w:r w:rsidRPr="00FC02B2">
        <w:rPr>
          <w:rFonts w:cstheme="minorHAnsi"/>
          <w:b/>
          <w:bCs/>
          <w:iCs/>
          <w:color w:val="000000"/>
          <w:sz w:val="24"/>
          <w:szCs w:val="24"/>
          <w:u w:val="single"/>
        </w:rPr>
        <w:t>:</w:t>
      </w:r>
    </w:p>
    <w:p w14:paraId="2C485C0D" w14:textId="51C7A01B" w:rsidR="00C66585" w:rsidRPr="00C402A4" w:rsidRDefault="00C66585" w:rsidP="00296C2F">
      <w:pPr>
        <w:pStyle w:val="Odstavecseseznamem"/>
        <w:numPr>
          <w:ilvl w:val="0"/>
          <w:numId w:val="11"/>
        </w:numPr>
        <w:spacing w:after="0" w:line="240" w:lineRule="auto"/>
        <w:ind w:hanging="436"/>
        <w:jc w:val="both"/>
        <w:rPr>
          <w:rFonts w:cstheme="minorHAnsi"/>
          <w:iCs/>
          <w:color w:val="000000"/>
          <w:sz w:val="24"/>
          <w:szCs w:val="24"/>
        </w:rPr>
      </w:pPr>
      <w:r w:rsidRPr="00C402A4">
        <w:rPr>
          <w:rFonts w:cstheme="minorHAnsi"/>
          <w:iCs/>
          <w:color w:val="000000"/>
          <w:sz w:val="24"/>
          <w:szCs w:val="24"/>
        </w:rPr>
        <w:t>bez omezení:</w:t>
      </w:r>
    </w:p>
    <w:p w14:paraId="6F0018CA" w14:textId="77777777" w:rsidR="00C66585" w:rsidRPr="00FC02B2" w:rsidRDefault="00C66585" w:rsidP="00C6658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iCs/>
          <w:color w:val="000000"/>
          <w:sz w:val="24"/>
          <w:szCs w:val="24"/>
        </w:rPr>
      </w:pPr>
      <w:r w:rsidRPr="00FC02B2">
        <w:rPr>
          <w:rFonts w:cstheme="minorHAnsi"/>
          <w:iCs/>
          <w:sz w:val="24"/>
          <w:szCs w:val="24"/>
        </w:rPr>
        <w:t>rozpočtové</w:t>
      </w:r>
      <w:r w:rsidRPr="00FC02B2">
        <w:rPr>
          <w:rFonts w:cstheme="minorHAnsi"/>
          <w:iCs/>
          <w:color w:val="000000"/>
          <w:sz w:val="24"/>
          <w:szCs w:val="24"/>
        </w:rPr>
        <w:t xml:space="preserve"> zapojení účelově přidělených finančních prostředků z jiných rozpočtů (státního rozpočtu, rozpočtu kraje, státních fondů atd.),</w:t>
      </w:r>
    </w:p>
    <w:p w14:paraId="71C3F4D1" w14:textId="6FC455B8" w:rsidR="00C66585" w:rsidRPr="00C402A4" w:rsidRDefault="00C66585" w:rsidP="00296C2F">
      <w:pPr>
        <w:pStyle w:val="Odstavecseseznamem"/>
        <w:numPr>
          <w:ilvl w:val="0"/>
          <w:numId w:val="11"/>
        </w:numPr>
        <w:spacing w:after="0" w:line="240" w:lineRule="auto"/>
        <w:ind w:hanging="436"/>
        <w:jc w:val="both"/>
        <w:rPr>
          <w:rFonts w:cstheme="minorHAnsi"/>
          <w:iCs/>
          <w:color w:val="000000"/>
          <w:sz w:val="24"/>
          <w:szCs w:val="24"/>
        </w:rPr>
      </w:pPr>
      <w:r w:rsidRPr="00C402A4">
        <w:rPr>
          <w:rFonts w:cstheme="minorHAnsi"/>
          <w:iCs/>
          <w:color w:val="000000"/>
          <w:sz w:val="24"/>
          <w:szCs w:val="24"/>
        </w:rPr>
        <w:t>s omezením do 500</w:t>
      </w:r>
      <w:r w:rsidR="009D7F6B" w:rsidRPr="00C402A4">
        <w:rPr>
          <w:rFonts w:cstheme="minorHAnsi"/>
          <w:iCs/>
          <w:color w:val="000000"/>
          <w:sz w:val="24"/>
          <w:szCs w:val="24"/>
        </w:rPr>
        <w:t>,00</w:t>
      </w:r>
      <w:r w:rsidRPr="00C402A4">
        <w:rPr>
          <w:rFonts w:cstheme="minorHAnsi"/>
          <w:iCs/>
          <w:color w:val="000000"/>
          <w:sz w:val="24"/>
          <w:szCs w:val="24"/>
        </w:rPr>
        <w:t xml:space="preserve"> tis. Kč včetně:</w:t>
      </w:r>
    </w:p>
    <w:p w14:paraId="0593E473" w14:textId="77777777" w:rsidR="00C66585" w:rsidRPr="00FC02B2" w:rsidRDefault="00C66585" w:rsidP="00C6658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iCs/>
          <w:color w:val="000000"/>
          <w:sz w:val="24"/>
          <w:szCs w:val="24"/>
        </w:rPr>
      </w:pPr>
      <w:r w:rsidRPr="00FC02B2">
        <w:rPr>
          <w:rFonts w:cstheme="minorHAnsi"/>
          <w:iCs/>
          <w:sz w:val="24"/>
          <w:szCs w:val="24"/>
        </w:rPr>
        <w:t>organizační změny MÚ Příbor,</w:t>
      </w:r>
      <w:r w:rsidRPr="00FC02B2">
        <w:rPr>
          <w:rFonts w:cstheme="minorHAnsi"/>
          <w:iCs/>
          <w:color w:val="000000"/>
          <w:sz w:val="24"/>
          <w:szCs w:val="24"/>
        </w:rPr>
        <w:t xml:space="preserve"> pokud tyto změny nevyvolávají další nároky na finanční prostředky města (nezvyšuje se celkový rozpočet výdajů města),</w:t>
      </w:r>
    </w:p>
    <w:p w14:paraId="15AFC042" w14:textId="77777777" w:rsidR="00C66585" w:rsidRPr="00FC02B2" w:rsidRDefault="00C66585" w:rsidP="00C6658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FC02B2">
        <w:rPr>
          <w:rFonts w:cstheme="minorHAnsi"/>
          <w:iCs/>
          <w:color w:val="000000"/>
          <w:sz w:val="24"/>
          <w:szCs w:val="24"/>
        </w:rPr>
        <w:t>použití rezervy města na havarijní a naléhavé účely,</w:t>
      </w:r>
    </w:p>
    <w:p w14:paraId="126F6B76" w14:textId="77777777" w:rsidR="00C66585" w:rsidRPr="00FC02B2" w:rsidRDefault="00C66585" w:rsidP="00C6658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FC02B2">
        <w:rPr>
          <w:rFonts w:cstheme="minorHAnsi"/>
          <w:iCs/>
          <w:sz w:val="24"/>
          <w:szCs w:val="24"/>
        </w:rPr>
        <w:t>změny právních předpisů ovlivňujících výši rozpočtových příjmů nebo výdajů (metodické změny)</w:t>
      </w:r>
    </w:p>
    <w:p w14:paraId="577A4C48" w14:textId="1A66A928" w:rsidR="00C66585" w:rsidRPr="00FC02B2" w:rsidRDefault="009D7F6B" w:rsidP="00C6658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FC02B2">
        <w:rPr>
          <w:rFonts w:cstheme="minorHAnsi"/>
          <w:iCs/>
          <w:sz w:val="24"/>
          <w:szCs w:val="24"/>
        </w:rPr>
        <w:t>z</w:t>
      </w:r>
      <w:r w:rsidR="00C66585" w:rsidRPr="00FC02B2">
        <w:rPr>
          <w:rFonts w:cstheme="minorHAnsi"/>
          <w:iCs/>
          <w:sz w:val="24"/>
          <w:szCs w:val="24"/>
        </w:rPr>
        <w:t>měny objektivně působících skutečností ovlivňujících příjmy či výdaje (věcné změny).</w:t>
      </w:r>
    </w:p>
    <w:p w14:paraId="09CD4BC3" w14:textId="77777777" w:rsidR="00C66585" w:rsidRPr="00FC02B2" w:rsidRDefault="00C66585" w:rsidP="00C66585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0CB2CACE" w14:textId="218856CD" w:rsidR="001570AC" w:rsidRPr="00FC02B2" w:rsidRDefault="001570AC" w:rsidP="001570AC">
      <w:pPr>
        <w:rPr>
          <w:rFonts w:cstheme="minorHAnsi"/>
          <w:b/>
          <w:bCs/>
          <w:iCs/>
          <w:color w:val="000000"/>
          <w:sz w:val="24"/>
          <w:szCs w:val="24"/>
          <w:u w:val="single"/>
        </w:rPr>
      </w:pPr>
      <w:r w:rsidRPr="00FC02B2">
        <w:rPr>
          <w:rFonts w:cstheme="minorHAnsi"/>
          <w:b/>
          <w:bCs/>
          <w:color w:val="000000"/>
          <w:sz w:val="24"/>
          <w:szCs w:val="24"/>
          <w:u w:val="single"/>
        </w:rPr>
        <w:t xml:space="preserve">Návrh na úpravu rozsahu pravomoci </w:t>
      </w:r>
      <w:r w:rsidRPr="00FC02B2">
        <w:rPr>
          <w:rFonts w:cstheme="minorHAnsi"/>
          <w:b/>
          <w:bCs/>
          <w:iCs/>
          <w:color w:val="000000"/>
          <w:sz w:val="24"/>
          <w:szCs w:val="24"/>
          <w:u w:val="single"/>
        </w:rPr>
        <w:t>rady města k provádění rozpočtových opatření:</w:t>
      </w:r>
    </w:p>
    <w:p w14:paraId="57FA17A5" w14:textId="421B047F" w:rsidR="00C66585" w:rsidRPr="00FC02B2" w:rsidRDefault="00C66585" w:rsidP="00FE345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49BA469" w14:textId="77777777" w:rsidR="001570AC" w:rsidRPr="00FC02B2" w:rsidRDefault="001570AC" w:rsidP="001570AC">
      <w:pPr>
        <w:rPr>
          <w:rFonts w:cstheme="minorHAnsi"/>
          <w:sz w:val="24"/>
          <w:szCs w:val="24"/>
          <w:u w:val="single"/>
        </w:rPr>
      </w:pPr>
      <w:r w:rsidRPr="00FC02B2">
        <w:rPr>
          <w:rFonts w:cstheme="minorHAnsi"/>
          <w:sz w:val="24"/>
          <w:szCs w:val="24"/>
          <w:u w:val="single"/>
        </w:rPr>
        <w:t>Bez omezení:</w:t>
      </w:r>
    </w:p>
    <w:p w14:paraId="41FF35D3" w14:textId="77777777" w:rsidR="001570AC" w:rsidRPr="00FC02B2" w:rsidRDefault="001570AC" w:rsidP="00296C2F">
      <w:pPr>
        <w:pStyle w:val="Odstavecseseznamem"/>
        <w:numPr>
          <w:ilvl w:val="0"/>
          <w:numId w:val="6"/>
        </w:numPr>
        <w:spacing w:line="256" w:lineRule="auto"/>
        <w:ind w:left="709" w:hanging="425"/>
        <w:rPr>
          <w:rFonts w:cstheme="minorHAnsi"/>
          <w:sz w:val="24"/>
          <w:szCs w:val="24"/>
        </w:rPr>
      </w:pPr>
      <w:r w:rsidRPr="00FC02B2">
        <w:rPr>
          <w:rFonts w:cstheme="minorHAnsi"/>
          <w:sz w:val="24"/>
          <w:szCs w:val="24"/>
        </w:rPr>
        <w:t>zapojení účelově přidělených finančních prostředků z jiných rozpočtů (státního rozpočtu, rozpočtu kraje, státních fondů atd.),</w:t>
      </w:r>
    </w:p>
    <w:p w14:paraId="76C0A5C8" w14:textId="1AF40B3C" w:rsidR="001570AC" w:rsidRPr="00FC02B2" w:rsidRDefault="001570AC" w:rsidP="00296C2F">
      <w:pPr>
        <w:pStyle w:val="Odstavecseseznamem"/>
        <w:numPr>
          <w:ilvl w:val="0"/>
          <w:numId w:val="6"/>
        </w:numPr>
        <w:spacing w:line="256" w:lineRule="auto"/>
        <w:ind w:left="709" w:hanging="425"/>
        <w:rPr>
          <w:rFonts w:cstheme="minorHAnsi"/>
          <w:sz w:val="24"/>
          <w:szCs w:val="24"/>
        </w:rPr>
      </w:pPr>
      <w:r w:rsidRPr="00FC02B2">
        <w:rPr>
          <w:rFonts w:cstheme="minorHAnsi"/>
          <w:sz w:val="24"/>
          <w:szCs w:val="24"/>
        </w:rPr>
        <w:t>přesun finančních prostředků z kapitálových výdajů do běžných</w:t>
      </w:r>
      <w:r w:rsidR="00F72C18" w:rsidRPr="00FC02B2">
        <w:rPr>
          <w:rFonts w:cstheme="minorHAnsi"/>
          <w:sz w:val="24"/>
          <w:szCs w:val="24"/>
        </w:rPr>
        <w:t xml:space="preserve">, příp. opačně </w:t>
      </w:r>
      <w:r w:rsidRPr="00FC02B2">
        <w:rPr>
          <w:rFonts w:cstheme="minorHAnsi"/>
          <w:sz w:val="24"/>
          <w:szCs w:val="24"/>
        </w:rPr>
        <w:t>v</w:t>
      </w:r>
      <w:r w:rsidR="00F72C18" w:rsidRPr="00FC02B2">
        <w:rPr>
          <w:rFonts w:cstheme="minorHAnsi"/>
          <w:sz w:val="24"/>
          <w:szCs w:val="24"/>
        </w:rPr>
        <w:t> </w:t>
      </w:r>
      <w:r w:rsidRPr="00FC02B2">
        <w:rPr>
          <w:rFonts w:cstheme="minorHAnsi"/>
          <w:sz w:val="24"/>
          <w:szCs w:val="24"/>
        </w:rPr>
        <w:t>rámci jednoho projektu (investiční akce) při zachování celkových výdajů na tento projekt</w:t>
      </w:r>
      <w:r w:rsidR="00FC02B2">
        <w:rPr>
          <w:rFonts w:cstheme="minorHAnsi"/>
          <w:sz w:val="24"/>
          <w:szCs w:val="24"/>
        </w:rPr>
        <w:t>.</w:t>
      </w:r>
    </w:p>
    <w:p w14:paraId="48764468" w14:textId="04E21DE4" w:rsidR="0034569A" w:rsidRPr="00FC02B2" w:rsidRDefault="001570AC" w:rsidP="001570AC">
      <w:pPr>
        <w:rPr>
          <w:rFonts w:cstheme="minorHAnsi"/>
          <w:sz w:val="24"/>
          <w:szCs w:val="24"/>
          <w:u w:val="single"/>
        </w:rPr>
      </w:pPr>
      <w:r w:rsidRPr="00FC02B2">
        <w:rPr>
          <w:rFonts w:cstheme="minorHAnsi"/>
          <w:sz w:val="24"/>
          <w:szCs w:val="24"/>
          <w:u w:val="single"/>
        </w:rPr>
        <w:t xml:space="preserve">S omezením do </w:t>
      </w:r>
      <w:r w:rsidR="00284BF0" w:rsidRPr="00FC02B2">
        <w:rPr>
          <w:rFonts w:cstheme="minorHAnsi"/>
          <w:sz w:val="24"/>
          <w:szCs w:val="24"/>
          <w:u w:val="single"/>
        </w:rPr>
        <w:t>1 000</w:t>
      </w:r>
      <w:r w:rsidRPr="00FC02B2">
        <w:rPr>
          <w:rFonts w:cstheme="minorHAnsi"/>
          <w:sz w:val="24"/>
          <w:szCs w:val="24"/>
          <w:u w:val="single"/>
        </w:rPr>
        <w:t>,00 tis. Kč úhrnem za jednu položku:</w:t>
      </w:r>
    </w:p>
    <w:p w14:paraId="2A246500" w14:textId="3C650E96" w:rsidR="001E23E4" w:rsidRPr="00253268" w:rsidRDefault="0034569A" w:rsidP="00296C2F">
      <w:pPr>
        <w:pStyle w:val="Odstavecseseznamem"/>
        <w:numPr>
          <w:ilvl w:val="0"/>
          <w:numId w:val="7"/>
        </w:numPr>
        <w:spacing w:line="256" w:lineRule="auto"/>
        <w:ind w:hanging="436"/>
        <w:rPr>
          <w:rFonts w:cstheme="minorHAnsi"/>
          <w:sz w:val="24"/>
          <w:szCs w:val="24"/>
        </w:rPr>
      </w:pPr>
      <w:r w:rsidRPr="00253268">
        <w:rPr>
          <w:rFonts w:cstheme="minorHAnsi"/>
          <w:sz w:val="24"/>
          <w:szCs w:val="24"/>
        </w:rPr>
        <w:t>zapojení výdaje nutného na zajištění chodu obce</w:t>
      </w:r>
      <w:r w:rsidR="00285FBF" w:rsidRPr="00253268">
        <w:rPr>
          <w:rFonts w:cstheme="minorHAnsi"/>
          <w:sz w:val="24"/>
          <w:szCs w:val="24"/>
        </w:rPr>
        <w:t xml:space="preserve"> </w:t>
      </w:r>
      <w:r w:rsidRPr="00253268">
        <w:rPr>
          <w:rFonts w:cstheme="minorHAnsi"/>
          <w:sz w:val="24"/>
          <w:szCs w:val="24"/>
        </w:rPr>
        <w:t xml:space="preserve">v případě havárií nebo stavu nouze nebo stavu nebezpečí, </w:t>
      </w:r>
    </w:p>
    <w:p w14:paraId="7C16988E" w14:textId="34193323" w:rsidR="001570AC" w:rsidRPr="00253268" w:rsidRDefault="001E23E4" w:rsidP="00296C2F">
      <w:pPr>
        <w:pStyle w:val="Odstavecseseznamem"/>
        <w:numPr>
          <w:ilvl w:val="0"/>
          <w:numId w:val="7"/>
        </w:numPr>
        <w:spacing w:line="256" w:lineRule="auto"/>
        <w:ind w:hanging="436"/>
        <w:rPr>
          <w:rFonts w:cstheme="minorHAnsi"/>
          <w:sz w:val="24"/>
          <w:szCs w:val="24"/>
        </w:rPr>
      </w:pPr>
      <w:r w:rsidRPr="00253268">
        <w:rPr>
          <w:rFonts w:cstheme="minorHAnsi"/>
          <w:sz w:val="24"/>
          <w:szCs w:val="24"/>
        </w:rPr>
        <w:t xml:space="preserve">zapojení </w:t>
      </w:r>
      <w:r w:rsidR="0034569A" w:rsidRPr="00253268">
        <w:rPr>
          <w:rFonts w:cstheme="minorHAnsi"/>
          <w:sz w:val="24"/>
          <w:szCs w:val="24"/>
        </w:rPr>
        <w:t>výdaje k odvrácení možných škod,</w:t>
      </w:r>
    </w:p>
    <w:p w14:paraId="09E78A35" w14:textId="0090A05F" w:rsidR="001570AC" w:rsidRPr="00253268" w:rsidRDefault="00285FBF" w:rsidP="00296C2F">
      <w:pPr>
        <w:pStyle w:val="Odstavecseseznamem"/>
        <w:numPr>
          <w:ilvl w:val="0"/>
          <w:numId w:val="7"/>
        </w:numPr>
        <w:spacing w:line="256" w:lineRule="auto"/>
        <w:ind w:hanging="436"/>
        <w:rPr>
          <w:rFonts w:cstheme="minorHAnsi"/>
          <w:sz w:val="24"/>
          <w:szCs w:val="24"/>
        </w:rPr>
      </w:pPr>
      <w:r w:rsidRPr="00253268">
        <w:rPr>
          <w:rFonts w:cstheme="minorHAnsi"/>
          <w:sz w:val="24"/>
          <w:szCs w:val="24"/>
        </w:rPr>
        <w:t>zapojení výdaje, kdy včasné provedení úhrady je vázáno penalizací,</w:t>
      </w:r>
    </w:p>
    <w:p w14:paraId="1A1508AD" w14:textId="23A4BCFA" w:rsidR="00285FBF" w:rsidRPr="00253268" w:rsidRDefault="00285FBF" w:rsidP="00296C2F">
      <w:pPr>
        <w:pStyle w:val="Odstavecseseznamem"/>
        <w:numPr>
          <w:ilvl w:val="0"/>
          <w:numId w:val="7"/>
        </w:numPr>
        <w:spacing w:line="256" w:lineRule="auto"/>
        <w:ind w:hanging="436"/>
        <w:rPr>
          <w:rFonts w:cstheme="minorHAnsi"/>
          <w:sz w:val="24"/>
          <w:szCs w:val="24"/>
        </w:rPr>
      </w:pPr>
      <w:r w:rsidRPr="00253268">
        <w:rPr>
          <w:rFonts w:cstheme="minorHAnsi"/>
          <w:sz w:val="24"/>
          <w:szCs w:val="24"/>
        </w:rPr>
        <w:t>zapojení výdaje na úhrady pokut, penále z rozhodnutí nadřízených orgánů a dohledů a další nutné výdaje, kdy schválení rozpočtového opatření je nezbytné a má jen formální charakter, protože výdaj musí být realizován,</w:t>
      </w:r>
    </w:p>
    <w:p w14:paraId="2FE74305" w14:textId="23BEA8F0" w:rsidR="001570AC" w:rsidRPr="00253268" w:rsidRDefault="001570AC" w:rsidP="00296C2F">
      <w:pPr>
        <w:pStyle w:val="Odstavecseseznamem"/>
        <w:numPr>
          <w:ilvl w:val="0"/>
          <w:numId w:val="7"/>
        </w:numPr>
        <w:spacing w:line="256" w:lineRule="auto"/>
        <w:ind w:hanging="436"/>
        <w:rPr>
          <w:rFonts w:cstheme="minorHAnsi"/>
          <w:sz w:val="24"/>
          <w:szCs w:val="24"/>
        </w:rPr>
      </w:pPr>
      <w:r w:rsidRPr="00253268">
        <w:rPr>
          <w:rFonts w:cstheme="minorHAnsi"/>
          <w:sz w:val="24"/>
          <w:szCs w:val="24"/>
        </w:rPr>
        <w:t>přesuny mezi závaznými ukazateli v rámci téže kapitoly (skupiny), z důvodu změny účelu užití finančních prostředků</w:t>
      </w:r>
      <w:r w:rsidR="0050070F" w:rsidRPr="00253268">
        <w:rPr>
          <w:rFonts w:cstheme="minorHAnsi"/>
          <w:sz w:val="24"/>
          <w:szCs w:val="24"/>
        </w:rPr>
        <w:t xml:space="preserve"> v</w:t>
      </w:r>
      <w:r w:rsidR="0028705B" w:rsidRPr="00253268">
        <w:rPr>
          <w:rFonts w:cstheme="minorHAnsi"/>
          <w:sz w:val="24"/>
          <w:szCs w:val="24"/>
        </w:rPr>
        <w:t> </w:t>
      </w:r>
      <w:r w:rsidR="0050070F" w:rsidRPr="00253268">
        <w:rPr>
          <w:rFonts w:cstheme="minorHAnsi"/>
          <w:sz w:val="24"/>
          <w:szCs w:val="24"/>
        </w:rPr>
        <w:t>případech</w:t>
      </w:r>
      <w:r w:rsidR="0028705B" w:rsidRPr="00253268">
        <w:rPr>
          <w:rFonts w:cstheme="minorHAnsi"/>
          <w:sz w:val="24"/>
          <w:szCs w:val="24"/>
        </w:rPr>
        <w:t>, které nesnesou odkladu</w:t>
      </w:r>
      <w:r w:rsidR="0050070F" w:rsidRPr="00253268">
        <w:rPr>
          <w:rFonts w:cstheme="minorHAnsi"/>
          <w:sz w:val="24"/>
          <w:szCs w:val="24"/>
        </w:rPr>
        <w:t>.</w:t>
      </w:r>
    </w:p>
    <w:p w14:paraId="48EB794F" w14:textId="77777777" w:rsidR="001570AC" w:rsidRPr="00FC02B2" w:rsidRDefault="001570AC" w:rsidP="001570AC">
      <w:pPr>
        <w:pStyle w:val="Odstavecseseznamem"/>
        <w:rPr>
          <w:rFonts w:cstheme="minorHAnsi"/>
          <w:sz w:val="24"/>
          <w:szCs w:val="24"/>
        </w:rPr>
      </w:pPr>
    </w:p>
    <w:p w14:paraId="6F109140" w14:textId="2C44A752" w:rsidR="00C66585" w:rsidRPr="00FC02B2" w:rsidRDefault="001E23E4" w:rsidP="00FE3457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C02B2">
        <w:rPr>
          <w:rFonts w:cstheme="minorHAnsi"/>
          <w:color w:val="000000"/>
          <w:sz w:val="24"/>
          <w:szCs w:val="24"/>
        </w:rPr>
        <w:t xml:space="preserve">Příklady </w:t>
      </w:r>
      <w:r w:rsidR="00284BF0" w:rsidRPr="00FC02B2">
        <w:rPr>
          <w:rFonts w:cstheme="minorHAnsi"/>
          <w:color w:val="000000"/>
          <w:sz w:val="24"/>
          <w:szCs w:val="24"/>
        </w:rPr>
        <w:t xml:space="preserve">a komentáře </w:t>
      </w:r>
      <w:r w:rsidRPr="00FC02B2">
        <w:rPr>
          <w:rFonts w:cstheme="minorHAnsi"/>
          <w:color w:val="000000"/>
          <w:sz w:val="24"/>
          <w:szCs w:val="24"/>
        </w:rPr>
        <w:t>k jednotlivým bodům</w:t>
      </w:r>
      <w:r w:rsidR="00284BF0" w:rsidRPr="00FC02B2">
        <w:rPr>
          <w:rFonts w:cstheme="minorHAnsi"/>
          <w:color w:val="000000"/>
          <w:sz w:val="24"/>
          <w:szCs w:val="24"/>
        </w:rPr>
        <w:t xml:space="preserve"> pravomoci rady města k provádění rozpočtových opatření:</w:t>
      </w:r>
    </w:p>
    <w:p w14:paraId="6A252F63" w14:textId="2F97D22A" w:rsidR="00C66585" w:rsidRPr="00FC02B2" w:rsidRDefault="00C66585" w:rsidP="00FE345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6334B71" w14:textId="77777777" w:rsidR="001E23E4" w:rsidRPr="00FC02B2" w:rsidRDefault="001E23E4" w:rsidP="001E23E4">
      <w:pPr>
        <w:rPr>
          <w:rFonts w:cstheme="minorHAnsi"/>
          <w:sz w:val="24"/>
          <w:szCs w:val="24"/>
          <w:u w:val="single"/>
        </w:rPr>
      </w:pPr>
      <w:r w:rsidRPr="00FC02B2">
        <w:rPr>
          <w:rFonts w:cstheme="minorHAnsi"/>
          <w:sz w:val="24"/>
          <w:szCs w:val="24"/>
          <w:u w:val="single"/>
        </w:rPr>
        <w:t>Bez omezení:</w:t>
      </w:r>
    </w:p>
    <w:p w14:paraId="78E1D589" w14:textId="72B00950" w:rsidR="001E23E4" w:rsidRPr="00FC02B2" w:rsidRDefault="00284BF0" w:rsidP="00296C2F">
      <w:pPr>
        <w:pStyle w:val="Odstavecseseznamem"/>
        <w:numPr>
          <w:ilvl w:val="0"/>
          <w:numId w:val="9"/>
        </w:numPr>
        <w:spacing w:line="256" w:lineRule="auto"/>
        <w:ind w:hanging="436"/>
        <w:rPr>
          <w:rFonts w:cstheme="minorHAnsi"/>
          <w:sz w:val="24"/>
          <w:szCs w:val="24"/>
        </w:rPr>
      </w:pPr>
      <w:r w:rsidRPr="00FC02B2">
        <w:rPr>
          <w:rFonts w:cstheme="minorHAnsi"/>
          <w:sz w:val="24"/>
          <w:szCs w:val="24"/>
        </w:rPr>
        <w:t>Z</w:t>
      </w:r>
      <w:r w:rsidR="00964C91" w:rsidRPr="00FC02B2">
        <w:rPr>
          <w:rFonts w:cstheme="minorHAnsi"/>
          <w:sz w:val="24"/>
          <w:szCs w:val="24"/>
        </w:rPr>
        <w:t xml:space="preserve">apojení účelově přidělených finančních prostředků z jiných rozpočtů (státního rozpočtu, rozpočtu kraje, státních fondů atd.) - </w:t>
      </w:r>
      <w:r w:rsidR="001E23E4" w:rsidRPr="00FC02B2">
        <w:rPr>
          <w:rFonts w:cstheme="minorHAnsi"/>
          <w:sz w:val="24"/>
          <w:szCs w:val="24"/>
        </w:rPr>
        <w:t xml:space="preserve">zapojení dotací </w:t>
      </w:r>
      <w:r w:rsidR="00964C91" w:rsidRPr="00FC02B2">
        <w:rPr>
          <w:rFonts w:cstheme="minorHAnsi"/>
          <w:sz w:val="24"/>
          <w:szCs w:val="24"/>
        </w:rPr>
        <w:t xml:space="preserve">do příjmů a do výdajů </w:t>
      </w:r>
      <w:r w:rsidR="00964C91" w:rsidRPr="00FC02B2">
        <w:rPr>
          <w:rFonts w:cstheme="minorHAnsi"/>
          <w:sz w:val="24"/>
          <w:szCs w:val="24"/>
        </w:rPr>
        <w:lastRenderedPageBreak/>
        <w:t>(je aktuální ke konci kalendářního roku, kdy město obdrží rozhodnutí</w:t>
      </w:r>
      <w:r w:rsidR="009D7F6B" w:rsidRPr="00FC02B2">
        <w:rPr>
          <w:rFonts w:cstheme="minorHAnsi"/>
          <w:sz w:val="24"/>
          <w:szCs w:val="24"/>
        </w:rPr>
        <w:t xml:space="preserve"> o přidělení dotace</w:t>
      </w:r>
      <w:r w:rsidR="00964C91" w:rsidRPr="00FC02B2">
        <w:rPr>
          <w:rFonts w:cstheme="minorHAnsi"/>
          <w:sz w:val="24"/>
          <w:szCs w:val="24"/>
        </w:rPr>
        <w:t xml:space="preserve"> a finanční prostředky jsou připsány na účet</w:t>
      </w:r>
      <w:r w:rsidR="008A2FF8">
        <w:rPr>
          <w:rFonts w:cstheme="minorHAnsi"/>
          <w:sz w:val="24"/>
          <w:szCs w:val="24"/>
        </w:rPr>
        <w:t>,</w:t>
      </w:r>
      <w:r w:rsidR="00964C91" w:rsidRPr="00FC02B2">
        <w:rPr>
          <w:rFonts w:cstheme="minorHAnsi"/>
          <w:sz w:val="24"/>
          <w:szCs w:val="24"/>
        </w:rPr>
        <w:t xml:space="preserve"> např. 27.12.)</w:t>
      </w:r>
      <w:r w:rsidRPr="00FC02B2">
        <w:rPr>
          <w:rFonts w:cstheme="minorHAnsi"/>
          <w:sz w:val="24"/>
          <w:szCs w:val="24"/>
        </w:rPr>
        <w:t>.</w:t>
      </w:r>
    </w:p>
    <w:p w14:paraId="192C06CC" w14:textId="40BC5AB1" w:rsidR="00964C91" w:rsidRPr="00FC02B2" w:rsidRDefault="00284BF0" w:rsidP="00296C2F">
      <w:pPr>
        <w:pStyle w:val="Odstavecseseznamem"/>
        <w:numPr>
          <w:ilvl w:val="0"/>
          <w:numId w:val="9"/>
        </w:numPr>
        <w:spacing w:line="256" w:lineRule="auto"/>
        <w:ind w:hanging="436"/>
        <w:rPr>
          <w:rFonts w:cstheme="minorHAnsi"/>
          <w:sz w:val="24"/>
          <w:szCs w:val="24"/>
        </w:rPr>
      </w:pPr>
      <w:r w:rsidRPr="00FC02B2">
        <w:rPr>
          <w:rFonts w:cstheme="minorHAnsi"/>
          <w:sz w:val="24"/>
          <w:szCs w:val="24"/>
        </w:rPr>
        <w:t>P</w:t>
      </w:r>
      <w:r w:rsidR="00964C91" w:rsidRPr="00FC02B2">
        <w:rPr>
          <w:rFonts w:cstheme="minorHAnsi"/>
          <w:sz w:val="24"/>
          <w:szCs w:val="24"/>
        </w:rPr>
        <w:t>řesun finančních prostředků z kapitálových výdajů do běžných, příp. opačně v rámci jednoho projektu (investiční akce) při zachování celkových výdajů na tento projekt -</w:t>
      </w:r>
    </w:p>
    <w:p w14:paraId="0AFD43DB" w14:textId="77777777" w:rsidR="00284BF0" w:rsidRPr="00FC02B2" w:rsidRDefault="00964C91" w:rsidP="00296C2F">
      <w:pPr>
        <w:pStyle w:val="Odstavecseseznamem"/>
        <w:spacing w:line="256" w:lineRule="auto"/>
        <w:ind w:hanging="12"/>
        <w:rPr>
          <w:rFonts w:cstheme="minorHAnsi"/>
          <w:sz w:val="24"/>
          <w:szCs w:val="24"/>
        </w:rPr>
      </w:pPr>
      <w:r w:rsidRPr="00FC02B2">
        <w:rPr>
          <w:rFonts w:cstheme="minorHAnsi"/>
          <w:sz w:val="24"/>
          <w:szCs w:val="24"/>
        </w:rPr>
        <w:t>návrh na doplnění tohoto oprávnění vznikl v souvislosti s IS VERA, kdy je striktně stanoven rozpočet investičních výdajů a neinvestičních výdajů</w:t>
      </w:r>
      <w:r w:rsidR="00284BF0" w:rsidRPr="00FC02B2">
        <w:rPr>
          <w:rFonts w:cstheme="minorHAnsi"/>
          <w:sz w:val="24"/>
          <w:szCs w:val="24"/>
        </w:rPr>
        <w:t xml:space="preserve"> u jednotlivých stavebních akcích</w:t>
      </w:r>
      <w:r w:rsidRPr="00FC02B2">
        <w:rPr>
          <w:rFonts w:cstheme="minorHAnsi"/>
          <w:sz w:val="24"/>
          <w:szCs w:val="24"/>
        </w:rPr>
        <w:t xml:space="preserve"> jako závazný ukazatel</w:t>
      </w:r>
      <w:r w:rsidR="00284BF0" w:rsidRPr="00FC02B2">
        <w:rPr>
          <w:rFonts w:cstheme="minorHAnsi"/>
          <w:sz w:val="24"/>
          <w:szCs w:val="24"/>
        </w:rPr>
        <w:t xml:space="preserve">. </w:t>
      </w:r>
    </w:p>
    <w:p w14:paraId="0AC9DE69" w14:textId="28AFC9E9" w:rsidR="001E23E4" w:rsidRPr="00FC02B2" w:rsidRDefault="00284BF0" w:rsidP="00296C2F">
      <w:pPr>
        <w:pStyle w:val="Odstavecseseznamem"/>
        <w:spacing w:line="256" w:lineRule="auto"/>
        <w:ind w:hanging="12"/>
        <w:rPr>
          <w:rFonts w:cstheme="minorHAnsi"/>
          <w:sz w:val="24"/>
          <w:szCs w:val="24"/>
        </w:rPr>
      </w:pPr>
      <w:r w:rsidRPr="00FC02B2">
        <w:rPr>
          <w:rFonts w:cstheme="minorHAnsi"/>
          <w:sz w:val="24"/>
          <w:szCs w:val="24"/>
        </w:rPr>
        <w:t xml:space="preserve">V </w:t>
      </w:r>
      <w:r w:rsidR="00964C91" w:rsidRPr="00FC02B2">
        <w:rPr>
          <w:rFonts w:cstheme="minorHAnsi"/>
          <w:sz w:val="24"/>
          <w:szCs w:val="24"/>
        </w:rPr>
        <w:t xml:space="preserve">roce 2019 vznikl </w:t>
      </w:r>
      <w:r w:rsidR="009D7F6B" w:rsidRPr="00FC02B2">
        <w:rPr>
          <w:rFonts w:cstheme="minorHAnsi"/>
          <w:sz w:val="24"/>
          <w:szCs w:val="24"/>
        </w:rPr>
        <w:t xml:space="preserve">při akci Lokalita za školu </w:t>
      </w:r>
      <w:r w:rsidR="00964C91" w:rsidRPr="00FC02B2">
        <w:rPr>
          <w:rFonts w:cstheme="minorHAnsi"/>
          <w:sz w:val="24"/>
          <w:szCs w:val="24"/>
        </w:rPr>
        <w:t xml:space="preserve">problém, kdy poplatek </w:t>
      </w:r>
      <w:r w:rsidR="00D32B49" w:rsidRPr="00FC02B2">
        <w:rPr>
          <w:rFonts w:cstheme="minorHAnsi"/>
          <w:sz w:val="24"/>
          <w:szCs w:val="24"/>
        </w:rPr>
        <w:t xml:space="preserve">vázáný </w:t>
      </w:r>
      <w:r w:rsidR="00964C91" w:rsidRPr="00FC02B2">
        <w:rPr>
          <w:rFonts w:cstheme="minorHAnsi"/>
          <w:sz w:val="24"/>
          <w:szCs w:val="24"/>
        </w:rPr>
        <w:t>na odvod za trvalé odnětí půdy ze zemědělského půdního fondu byl rozpočtován jako neinvestiční výdaj na položce 5361, přičemž se jednalo o výdaj investiční</w:t>
      </w:r>
      <w:r w:rsidRPr="00FC02B2">
        <w:rPr>
          <w:rFonts w:cstheme="minorHAnsi"/>
          <w:sz w:val="24"/>
          <w:szCs w:val="24"/>
        </w:rPr>
        <w:t xml:space="preserve">. Problém vznikl v závěru roku při placení poplatku ve výši cca 515,00 tis. Kč a nedal se vyřešit, </w:t>
      </w:r>
      <w:r w:rsidR="0066659A" w:rsidRPr="00FC02B2">
        <w:rPr>
          <w:rFonts w:cstheme="minorHAnsi"/>
          <w:sz w:val="24"/>
          <w:szCs w:val="24"/>
        </w:rPr>
        <w:t>neboť</w:t>
      </w:r>
      <w:r w:rsidRPr="00FC02B2">
        <w:rPr>
          <w:rFonts w:cstheme="minorHAnsi"/>
          <w:sz w:val="24"/>
          <w:szCs w:val="24"/>
        </w:rPr>
        <w:t xml:space="preserve"> rada neměla oprávnění k provedení tohoto rozpočtového opatření</w:t>
      </w:r>
      <w:r w:rsidR="009D7F6B" w:rsidRPr="00FC02B2">
        <w:rPr>
          <w:rFonts w:cstheme="minorHAnsi"/>
          <w:sz w:val="24"/>
          <w:szCs w:val="24"/>
        </w:rPr>
        <w:t xml:space="preserve"> – k přesunu do investičních výdajů a roli hrál</w:t>
      </w:r>
      <w:r w:rsidR="00D32B49" w:rsidRPr="00FC02B2">
        <w:rPr>
          <w:rFonts w:cstheme="minorHAnsi"/>
          <w:sz w:val="24"/>
          <w:szCs w:val="24"/>
        </w:rPr>
        <w:t xml:space="preserve">a </w:t>
      </w:r>
      <w:r w:rsidR="009D7F6B" w:rsidRPr="00FC02B2">
        <w:rPr>
          <w:rFonts w:cstheme="minorHAnsi"/>
          <w:sz w:val="24"/>
          <w:szCs w:val="24"/>
        </w:rPr>
        <w:t>i částka 515,00 tis. Kč.</w:t>
      </w:r>
    </w:p>
    <w:p w14:paraId="332E67B4" w14:textId="2692E3A5" w:rsidR="001E23E4" w:rsidRPr="00FC02B2" w:rsidRDefault="001E23E4" w:rsidP="001E23E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1DA54F" w14:textId="77777777" w:rsidR="00284BF0" w:rsidRPr="00FC02B2" w:rsidRDefault="00284BF0" w:rsidP="00284BF0">
      <w:pPr>
        <w:rPr>
          <w:rFonts w:cstheme="minorHAnsi"/>
          <w:sz w:val="24"/>
          <w:szCs w:val="24"/>
          <w:u w:val="single"/>
        </w:rPr>
      </w:pPr>
      <w:r w:rsidRPr="00FC02B2">
        <w:rPr>
          <w:rFonts w:cstheme="minorHAnsi"/>
          <w:sz w:val="24"/>
          <w:szCs w:val="24"/>
          <w:u w:val="single"/>
        </w:rPr>
        <w:t>S omezením do 1 000,00 tis. Kč úhrnem za jednu položku:</w:t>
      </w:r>
    </w:p>
    <w:p w14:paraId="2CF1E8F0" w14:textId="7842FE5F" w:rsidR="00284BF0" w:rsidRPr="00FC02B2" w:rsidRDefault="00284BF0" w:rsidP="00296C2F">
      <w:pPr>
        <w:pStyle w:val="Odstavecseseznamem"/>
        <w:numPr>
          <w:ilvl w:val="0"/>
          <w:numId w:val="10"/>
        </w:numPr>
        <w:spacing w:line="256" w:lineRule="auto"/>
        <w:ind w:hanging="436"/>
        <w:rPr>
          <w:rFonts w:cstheme="minorHAnsi"/>
          <w:sz w:val="24"/>
          <w:szCs w:val="24"/>
        </w:rPr>
      </w:pPr>
      <w:r w:rsidRPr="00FC02B2">
        <w:rPr>
          <w:rFonts w:cstheme="minorHAnsi"/>
          <w:sz w:val="24"/>
          <w:szCs w:val="24"/>
        </w:rPr>
        <w:t xml:space="preserve">Zapojení výdaje nutného na zajištění chodu obce v případě havárií nebo stavu nouze nebo stavu nebezpečí </w:t>
      </w:r>
      <w:r w:rsidR="005B217C" w:rsidRPr="00FC02B2">
        <w:rPr>
          <w:rFonts w:cstheme="minorHAnsi"/>
          <w:sz w:val="24"/>
          <w:szCs w:val="24"/>
        </w:rPr>
        <w:t>–</w:t>
      </w:r>
      <w:r w:rsidRPr="00FC02B2">
        <w:rPr>
          <w:rFonts w:cstheme="minorHAnsi"/>
          <w:sz w:val="24"/>
          <w:szCs w:val="24"/>
        </w:rPr>
        <w:t xml:space="preserve"> </w:t>
      </w:r>
      <w:r w:rsidR="005B217C" w:rsidRPr="00FC02B2">
        <w:rPr>
          <w:rFonts w:cstheme="minorHAnsi"/>
          <w:sz w:val="24"/>
          <w:szCs w:val="24"/>
        </w:rPr>
        <w:t xml:space="preserve">mimořádná událost, kdy </w:t>
      </w:r>
      <w:proofErr w:type="spellStart"/>
      <w:r w:rsidR="005B217C" w:rsidRPr="00FC02B2">
        <w:rPr>
          <w:rFonts w:cstheme="minorHAnsi"/>
          <w:sz w:val="24"/>
          <w:szCs w:val="24"/>
        </w:rPr>
        <w:t>doš</w:t>
      </w:r>
      <w:proofErr w:type="spellEnd"/>
      <w:r w:rsidR="005B217C" w:rsidRPr="00FC02B2">
        <w:rPr>
          <w:rFonts w:cstheme="minorHAnsi"/>
          <w:sz w:val="24"/>
          <w:szCs w:val="24"/>
        </w:rPr>
        <w:t xml:space="preserve"> k poškození nějakého stroje, přístroje, budovy, k požáru, k poškození vodovodu, plynovodu, teplovodu apod.</w:t>
      </w:r>
      <w:r w:rsidR="004A700F" w:rsidRPr="00FC02B2">
        <w:rPr>
          <w:rFonts w:cstheme="minorHAnsi"/>
          <w:sz w:val="24"/>
          <w:szCs w:val="24"/>
        </w:rPr>
        <w:t xml:space="preserve"> Stav nouze je vyhlášen vládou, stav nebezpečí je vyhlášen hejtmanem</w:t>
      </w:r>
      <w:r w:rsidR="009608D6" w:rsidRPr="00FC02B2">
        <w:rPr>
          <w:rFonts w:cstheme="minorHAnsi"/>
          <w:sz w:val="24"/>
          <w:szCs w:val="24"/>
        </w:rPr>
        <w:t xml:space="preserve"> – v tomto případě asi komentář s příklady není nutný.</w:t>
      </w:r>
    </w:p>
    <w:p w14:paraId="57820A1D" w14:textId="6AA442B9" w:rsidR="00284BF0" w:rsidRPr="00FC02B2" w:rsidRDefault="004A700F" w:rsidP="00296C2F">
      <w:pPr>
        <w:pStyle w:val="Odstavecseseznamem"/>
        <w:numPr>
          <w:ilvl w:val="0"/>
          <w:numId w:val="10"/>
        </w:numPr>
        <w:spacing w:line="256" w:lineRule="auto"/>
        <w:ind w:hanging="436"/>
        <w:rPr>
          <w:rFonts w:cstheme="minorHAnsi"/>
          <w:sz w:val="24"/>
          <w:szCs w:val="24"/>
        </w:rPr>
      </w:pPr>
      <w:r w:rsidRPr="00FC02B2">
        <w:rPr>
          <w:rFonts w:cstheme="minorHAnsi"/>
          <w:sz w:val="24"/>
          <w:szCs w:val="24"/>
        </w:rPr>
        <w:t>Z</w:t>
      </w:r>
      <w:r w:rsidR="00284BF0" w:rsidRPr="00FC02B2">
        <w:rPr>
          <w:rFonts w:cstheme="minorHAnsi"/>
          <w:sz w:val="24"/>
          <w:szCs w:val="24"/>
        </w:rPr>
        <w:t>apojení výdaje k odvrácení možných škod</w:t>
      </w:r>
      <w:r w:rsidRPr="00FC02B2">
        <w:rPr>
          <w:rFonts w:cstheme="minorHAnsi"/>
          <w:sz w:val="24"/>
          <w:szCs w:val="24"/>
        </w:rPr>
        <w:t xml:space="preserve"> – například vzniknou vícepráce u stavební ak</w:t>
      </w:r>
      <w:r w:rsidR="0066659A" w:rsidRPr="00FC02B2">
        <w:rPr>
          <w:rFonts w:cstheme="minorHAnsi"/>
          <w:sz w:val="24"/>
          <w:szCs w:val="24"/>
        </w:rPr>
        <w:t xml:space="preserve">ce, na které </w:t>
      </w:r>
      <w:r w:rsidRPr="00FC02B2">
        <w:rPr>
          <w:rFonts w:cstheme="minorHAnsi"/>
          <w:sz w:val="24"/>
          <w:szCs w:val="24"/>
        </w:rPr>
        <w:t>nejsou v rozpočtu finanční prostřed</w:t>
      </w:r>
      <w:r w:rsidR="0066659A" w:rsidRPr="00FC02B2">
        <w:rPr>
          <w:rFonts w:cstheme="minorHAnsi"/>
          <w:sz w:val="24"/>
          <w:szCs w:val="24"/>
        </w:rPr>
        <w:t xml:space="preserve">ky a </w:t>
      </w:r>
      <w:r w:rsidRPr="00FC02B2">
        <w:rPr>
          <w:rFonts w:cstheme="minorHAnsi"/>
          <w:sz w:val="24"/>
          <w:szCs w:val="24"/>
        </w:rPr>
        <w:t>nemůže být</w:t>
      </w:r>
      <w:r w:rsidR="0066659A" w:rsidRPr="00FC02B2">
        <w:rPr>
          <w:rFonts w:cstheme="minorHAnsi"/>
          <w:sz w:val="24"/>
          <w:szCs w:val="24"/>
        </w:rPr>
        <w:t xml:space="preserve"> tak</w:t>
      </w:r>
      <w:r w:rsidRPr="00FC02B2">
        <w:rPr>
          <w:rFonts w:cstheme="minorHAnsi"/>
          <w:sz w:val="24"/>
          <w:szCs w:val="24"/>
        </w:rPr>
        <w:t xml:space="preserve"> podepsán dodatek k základní smlouvě. Může se stát, že stavební firma p</w:t>
      </w:r>
      <w:r w:rsidR="0066659A" w:rsidRPr="00FC02B2">
        <w:rPr>
          <w:rFonts w:cstheme="minorHAnsi"/>
          <w:sz w:val="24"/>
          <w:szCs w:val="24"/>
        </w:rPr>
        <w:t>ráce přeruší</w:t>
      </w:r>
      <w:r w:rsidRPr="00FC02B2">
        <w:rPr>
          <w:rFonts w:cstheme="minorHAnsi"/>
          <w:sz w:val="24"/>
          <w:szCs w:val="24"/>
        </w:rPr>
        <w:t xml:space="preserve"> a pokud se jedná o akci, která je podpořena dotačními prostředky, tak město může přijít o dotaci</w:t>
      </w:r>
      <w:r w:rsidR="009D7F6B" w:rsidRPr="00FC02B2">
        <w:rPr>
          <w:rFonts w:cstheme="minorHAnsi"/>
          <w:sz w:val="24"/>
          <w:szCs w:val="24"/>
        </w:rPr>
        <w:t xml:space="preserve"> a dojde ke vzniku škody.</w:t>
      </w:r>
    </w:p>
    <w:p w14:paraId="65CF03C0" w14:textId="64373C98" w:rsidR="00084189" w:rsidRPr="00FC02B2" w:rsidRDefault="004A700F" w:rsidP="00296C2F">
      <w:pPr>
        <w:pStyle w:val="Odstavecseseznamem"/>
        <w:numPr>
          <w:ilvl w:val="0"/>
          <w:numId w:val="10"/>
        </w:numPr>
        <w:spacing w:line="256" w:lineRule="auto"/>
        <w:ind w:hanging="436"/>
        <w:rPr>
          <w:rFonts w:cstheme="minorHAnsi"/>
          <w:sz w:val="24"/>
          <w:szCs w:val="24"/>
        </w:rPr>
      </w:pPr>
      <w:r w:rsidRPr="00FC02B2">
        <w:rPr>
          <w:rFonts w:cstheme="minorHAnsi"/>
          <w:sz w:val="24"/>
          <w:szCs w:val="24"/>
        </w:rPr>
        <w:t>Z</w:t>
      </w:r>
      <w:r w:rsidR="00284BF0" w:rsidRPr="00FC02B2">
        <w:rPr>
          <w:rFonts w:cstheme="minorHAnsi"/>
          <w:sz w:val="24"/>
          <w:szCs w:val="24"/>
        </w:rPr>
        <w:t>apojení výdaje, kdy včasné provedení úhrady je vázáno penalizací</w:t>
      </w:r>
      <w:r w:rsidRPr="00FC02B2">
        <w:rPr>
          <w:rFonts w:cstheme="minorHAnsi"/>
          <w:sz w:val="24"/>
          <w:szCs w:val="24"/>
        </w:rPr>
        <w:t xml:space="preserve"> </w:t>
      </w:r>
      <w:r w:rsidR="009608D6" w:rsidRPr="00FC02B2">
        <w:rPr>
          <w:rFonts w:cstheme="minorHAnsi"/>
          <w:sz w:val="24"/>
          <w:szCs w:val="24"/>
        </w:rPr>
        <w:t>–</w:t>
      </w:r>
      <w:r w:rsidRPr="00FC02B2">
        <w:rPr>
          <w:rFonts w:cstheme="minorHAnsi"/>
          <w:sz w:val="24"/>
          <w:szCs w:val="24"/>
        </w:rPr>
        <w:t xml:space="preserve"> </w:t>
      </w:r>
      <w:r w:rsidR="009608D6" w:rsidRPr="00FC02B2">
        <w:rPr>
          <w:rFonts w:cstheme="minorHAnsi"/>
          <w:sz w:val="24"/>
          <w:szCs w:val="24"/>
        </w:rPr>
        <w:t xml:space="preserve">v roce 2019 vznikl problém s odvodem platby DPH na finanční úřad. Platba DPH byla vázána na </w:t>
      </w:r>
      <w:r w:rsidR="0066659A" w:rsidRPr="00FC02B2">
        <w:rPr>
          <w:rFonts w:cstheme="minorHAnsi"/>
          <w:sz w:val="24"/>
          <w:szCs w:val="24"/>
        </w:rPr>
        <w:t>příjmy z prodeje</w:t>
      </w:r>
      <w:r w:rsidR="009608D6" w:rsidRPr="00FC02B2">
        <w:rPr>
          <w:rFonts w:cstheme="minorHAnsi"/>
          <w:sz w:val="24"/>
          <w:szCs w:val="24"/>
        </w:rPr>
        <w:t xml:space="preserve"> pozemků. Vzhledem k tomu, že </w:t>
      </w:r>
      <w:r w:rsidR="0066659A" w:rsidRPr="00FC02B2">
        <w:rPr>
          <w:rFonts w:cstheme="minorHAnsi"/>
          <w:sz w:val="24"/>
          <w:szCs w:val="24"/>
        </w:rPr>
        <w:t>příjmy z prodeje pozemků byly vyšší, tak i město muselo odvést k tomu odpovídající výši DPH. Tomu však neodpovídal rozpočet na položce platba DPH a rada neměla oprávnění k provedení rozpočtového opatření</w:t>
      </w:r>
      <w:r w:rsidR="00084189" w:rsidRPr="00FC02B2">
        <w:rPr>
          <w:rFonts w:cstheme="minorHAnsi"/>
          <w:sz w:val="24"/>
          <w:szCs w:val="24"/>
        </w:rPr>
        <w:t xml:space="preserve"> ve smyslu zvýšit rozpočet na položce platba DPH, neboť se jednalo o částku vyšší než 500,00 tis. Kč. </w:t>
      </w:r>
      <w:r w:rsidR="0066659A" w:rsidRPr="00FC02B2">
        <w:rPr>
          <w:rFonts w:cstheme="minorHAnsi"/>
          <w:sz w:val="24"/>
          <w:szCs w:val="24"/>
        </w:rPr>
        <w:t xml:space="preserve">Pokud by město DPH </w:t>
      </w:r>
      <w:r w:rsidR="00084189" w:rsidRPr="00FC02B2">
        <w:rPr>
          <w:rFonts w:cstheme="minorHAnsi"/>
          <w:sz w:val="24"/>
          <w:szCs w:val="24"/>
        </w:rPr>
        <w:t xml:space="preserve">však </w:t>
      </w:r>
      <w:r w:rsidR="0066659A" w:rsidRPr="00FC02B2">
        <w:rPr>
          <w:rFonts w:cstheme="minorHAnsi"/>
          <w:sz w:val="24"/>
          <w:szCs w:val="24"/>
        </w:rPr>
        <w:t>neodvedlo na FÚ ve stanoveném termínu, vystavuje</w:t>
      </w:r>
      <w:r w:rsidR="009D7F6B" w:rsidRPr="00FC02B2">
        <w:rPr>
          <w:rFonts w:cstheme="minorHAnsi"/>
          <w:sz w:val="24"/>
          <w:szCs w:val="24"/>
        </w:rPr>
        <w:t xml:space="preserve"> se</w:t>
      </w:r>
      <w:r w:rsidR="0066659A" w:rsidRPr="00FC02B2">
        <w:rPr>
          <w:rFonts w:cstheme="minorHAnsi"/>
          <w:sz w:val="24"/>
          <w:szCs w:val="24"/>
        </w:rPr>
        <w:t xml:space="preserve"> tak případné penalizaci ze strany FÚ</w:t>
      </w:r>
      <w:r w:rsidR="00084189" w:rsidRPr="00FC02B2">
        <w:rPr>
          <w:rFonts w:cstheme="minorHAnsi"/>
          <w:sz w:val="24"/>
          <w:szCs w:val="24"/>
        </w:rPr>
        <w:t xml:space="preserve">. Dalším příkladem jsou </w:t>
      </w:r>
      <w:r w:rsidR="009D7F6B" w:rsidRPr="00FC02B2">
        <w:rPr>
          <w:rFonts w:cstheme="minorHAnsi"/>
          <w:sz w:val="24"/>
          <w:szCs w:val="24"/>
        </w:rPr>
        <w:t xml:space="preserve">např. </w:t>
      </w:r>
      <w:r w:rsidR="00084189" w:rsidRPr="00FC02B2">
        <w:rPr>
          <w:rFonts w:cstheme="minorHAnsi"/>
          <w:sz w:val="24"/>
          <w:szCs w:val="24"/>
        </w:rPr>
        <w:t xml:space="preserve">platby úroků v souvislosti s přijatými úvěry. </w:t>
      </w:r>
      <w:r w:rsidR="009D7F6B" w:rsidRPr="00FC02B2">
        <w:rPr>
          <w:rFonts w:cstheme="minorHAnsi"/>
          <w:sz w:val="24"/>
          <w:szCs w:val="24"/>
        </w:rPr>
        <w:t>M</w:t>
      </w:r>
      <w:r w:rsidR="00084189" w:rsidRPr="00FC02B2">
        <w:rPr>
          <w:rFonts w:cstheme="minorHAnsi"/>
          <w:sz w:val="24"/>
          <w:szCs w:val="24"/>
        </w:rPr>
        <w:t xml:space="preserve">ůže </w:t>
      </w:r>
      <w:r w:rsidR="009D7F6B" w:rsidRPr="00FC02B2">
        <w:rPr>
          <w:rFonts w:cstheme="minorHAnsi"/>
          <w:sz w:val="24"/>
          <w:szCs w:val="24"/>
        </w:rPr>
        <w:t xml:space="preserve">se </w:t>
      </w:r>
      <w:r w:rsidR="00084189" w:rsidRPr="00FC02B2">
        <w:rPr>
          <w:rFonts w:cstheme="minorHAnsi"/>
          <w:sz w:val="24"/>
          <w:szCs w:val="24"/>
        </w:rPr>
        <w:t xml:space="preserve">stát, že dojde ke konci roku ke zvýšení sazby 1M PRIBOR, kterou stanovuje ČNB. </w:t>
      </w:r>
    </w:p>
    <w:p w14:paraId="2DF10E21" w14:textId="7052D57D" w:rsidR="00284BF0" w:rsidRPr="00FC02B2" w:rsidRDefault="0066659A" w:rsidP="00296C2F">
      <w:pPr>
        <w:pStyle w:val="Odstavecseseznamem"/>
        <w:numPr>
          <w:ilvl w:val="0"/>
          <w:numId w:val="10"/>
        </w:numPr>
        <w:spacing w:line="256" w:lineRule="auto"/>
        <w:ind w:hanging="436"/>
        <w:rPr>
          <w:rFonts w:cstheme="minorHAnsi"/>
          <w:sz w:val="24"/>
          <w:szCs w:val="24"/>
        </w:rPr>
      </w:pPr>
      <w:r w:rsidRPr="00FC02B2">
        <w:rPr>
          <w:rFonts w:cstheme="minorHAnsi"/>
          <w:sz w:val="24"/>
          <w:szCs w:val="24"/>
        </w:rPr>
        <w:t>Z</w:t>
      </w:r>
      <w:r w:rsidR="00284BF0" w:rsidRPr="00FC02B2">
        <w:rPr>
          <w:rFonts w:cstheme="minorHAnsi"/>
          <w:sz w:val="24"/>
          <w:szCs w:val="24"/>
        </w:rPr>
        <w:t>apojení výdaje na úhrady pokut, penále z rozhodnutí nadřízených orgánů a dohledů a další nutné výdaje, kdy schválení rozpočtového opatření je nezbytné a má jen formální charakter, protože výdaj musí být realizován</w:t>
      </w:r>
      <w:r w:rsidRPr="00FC02B2">
        <w:rPr>
          <w:rFonts w:cstheme="minorHAnsi"/>
          <w:sz w:val="24"/>
          <w:szCs w:val="24"/>
        </w:rPr>
        <w:t xml:space="preserve"> – jedná se například o vratku části účelové dotace</w:t>
      </w:r>
      <w:r w:rsidR="009D7F6B" w:rsidRPr="00FC02B2">
        <w:rPr>
          <w:rFonts w:cstheme="minorHAnsi"/>
          <w:sz w:val="24"/>
          <w:szCs w:val="24"/>
        </w:rPr>
        <w:t xml:space="preserve"> a</w:t>
      </w:r>
      <w:r w:rsidRPr="00FC02B2">
        <w:rPr>
          <w:rFonts w:cstheme="minorHAnsi"/>
          <w:sz w:val="24"/>
          <w:szCs w:val="24"/>
        </w:rPr>
        <w:t xml:space="preserve"> k tomu vypočtené penále</w:t>
      </w:r>
      <w:r w:rsidR="009D7F6B" w:rsidRPr="00FC02B2">
        <w:rPr>
          <w:rFonts w:cstheme="minorHAnsi"/>
          <w:sz w:val="24"/>
          <w:szCs w:val="24"/>
        </w:rPr>
        <w:t xml:space="preserve">. Rovněž </w:t>
      </w:r>
      <w:r w:rsidR="00084189" w:rsidRPr="00FC02B2">
        <w:rPr>
          <w:rFonts w:cstheme="minorHAnsi"/>
          <w:sz w:val="24"/>
          <w:szCs w:val="24"/>
        </w:rPr>
        <w:t>kontrola OSSZ může vyčíslit penále i pokut</w:t>
      </w:r>
      <w:r w:rsidR="009D7F6B" w:rsidRPr="00FC02B2">
        <w:rPr>
          <w:rFonts w:cstheme="minorHAnsi"/>
          <w:sz w:val="24"/>
          <w:szCs w:val="24"/>
        </w:rPr>
        <w:t>u, jak se již v minulosti stalo. A stejně tak i zdravotní pojišťovny mohou po kontrole vyčíslit odvody a případné penále.</w:t>
      </w:r>
    </w:p>
    <w:p w14:paraId="5F207031" w14:textId="77777777" w:rsidR="00253268" w:rsidRPr="00253268" w:rsidRDefault="00084189" w:rsidP="008A64BA">
      <w:pPr>
        <w:pStyle w:val="Odstavecseseznamem"/>
        <w:numPr>
          <w:ilvl w:val="0"/>
          <w:numId w:val="10"/>
        </w:numPr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253268">
        <w:rPr>
          <w:rFonts w:cstheme="minorHAnsi"/>
          <w:sz w:val="24"/>
          <w:szCs w:val="24"/>
        </w:rPr>
        <w:t>P</w:t>
      </w:r>
      <w:r w:rsidR="00284BF0" w:rsidRPr="00253268">
        <w:rPr>
          <w:rFonts w:cstheme="minorHAnsi"/>
          <w:sz w:val="24"/>
          <w:szCs w:val="24"/>
        </w:rPr>
        <w:t>řesuny mezi závaznými ukazateli v rámci téže kapitoly (skupiny), z důvodu změny účelu užití finančních prostředků</w:t>
      </w:r>
      <w:r w:rsidRPr="00253268">
        <w:rPr>
          <w:rFonts w:cstheme="minorHAnsi"/>
          <w:sz w:val="24"/>
          <w:szCs w:val="24"/>
        </w:rPr>
        <w:t xml:space="preserve"> – </w:t>
      </w:r>
      <w:r w:rsidR="0050070F" w:rsidRPr="00253268">
        <w:rPr>
          <w:rFonts w:cstheme="minorHAnsi"/>
          <w:sz w:val="24"/>
          <w:szCs w:val="24"/>
        </w:rPr>
        <w:t xml:space="preserve">na začátku roku 2019 vznikla situace, kdy bylo nutno řešit pořízení klimatizace do serverovny z důvodu přehřívání. </w:t>
      </w:r>
      <w:r w:rsidR="00A175F4" w:rsidRPr="00253268">
        <w:rPr>
          <w:rFonts w:cstheme="minorHAnsi"/>
          <w:sz w:val="24"/>
          <w:szCs w:val="24"/>
        </w:rPr>
        <w:t>V</w:t>
      </w:r>
      <w:r w:rsidR="0050070F" w:rsidRPr="00253268">
        <w:rPr>
          <w:rFonts w:cstheme="minorHAnsi"/>
          <w:sz w:val="24"/>
          <w:szCs w:val="24"/>
        </w:rPr>
        <w:t xml:space="preserve">ýdaje za tímto účelem </w:t>
      </w:r>
      <w:r w:rsidR="0050070F" w:rsidRPr="00253268">
        <w:rPr>
          <w:rFonts w:cstheme="minorHAnsi"/>
          <w:sz w:val="24"/>
          <w:szCs w:val="24"/>
        </w:rPr>
        <w:lastRenderedPageBreak/>
        <w:t>však nebyly</w:t>
      </w:r>
      <w:r w:rsidR="00A175F4" w:rsidRPr="00253268">
        <w:rPr>
          <w:rFonts w:cstheme="minorHAnsi"/>
          <w:sz w:val="24"/>
          <w:szCs w:val="24"/>
        </w:rPr>
        <w:t xml:space="preserve"> dopředu</w:t>
      </w:r>
      <w:r w:rsidR="0050070F" w:rsidRPr="00253268">
        <w:rPr>
          <w:rFonts w:cstheme="minorHAnsi"/>
          <w:sz w:val="24"/>
          <w:szCs w:val="24"/>
        </w:rPr>
        <w:t xml:space="preserve"> plánovány. Pokud by se klimatizace nepořídila, došlo by k přehřátí serveru a následnému zkolabování informačního systému úřadu. Tato situace se řešila </w:t>
      </w:r>
      <w:r w:rsidR="00867DF2" w:rsidRPr="00253268">
        <w:rPr>
          <w:rFonts w:cstheme="minorHAnsi"/>
          <w:sz w:val="24"/>
          <w:szCs w:val="24"/>
        </w:rPr>
        <w:t xml:space="preserve">v rámci § 6171, tj. kapitoly OOSČ přesunem finančních prostředků z </w:t>
      </w:r>
      <w:r w:rsidR="0050070F" w:rsidRPr="00253268">
        <w:rPr>
          <w:rFonts w:cstheme="minorHAnsi"/>
          <w:sz w:val="24"/>
          <w:szCs w:val="24"/>
        </w:rPr>
        <w:t xml:space="preserve">položky </w:t>
      </w:r>
      <w:r w:rsidR="00A175F4" w:rsidRPr="00253268">
        <w:rPr>
          <w:rFonts w:cstheme="minorHAnsi"/>
          <w:sz w:val="24"/>
          <w:szCs w:val="24"/>
        </w:rPr>
        <w:t xml:space="preserve">5137 - </w:t>
      </w:r>
      <w:r w:rsidR="0050070F" w:rsidRPr="00253268">
        <w:rPr>
          <w:rFonts w:cstheme="minorHAnsi"/>
          <w:sz w:val="24"/>
          <w:szCs w:val="24"/>
        </w:rPr>
        <w:t>nákup drobného hmotného dlouhodobého majetku na</w:t>
      </w:r>
      <w:r w:rsidR="00A175F4" w:rsidRPr="00253268">
        <w:rPr>
          <w:rFonts w:cstheme="minorHAnsi"/>
          <w:sz w:val="24"/>
          <w:szCs w:val="24"/>
        </w:rPr>
        <w:t xml:space="preserve"> položku 6122 – stroje, přístroje a zařízení (</w:t>
      </w:r>
      <w:r w:rsidR="0050070F" w:rsidRPr="00253268">
        <w:rPr>
          <w:rFonts w:cstheme="minorHAnsi"/>
          <w:sz w:val="24"/>
          <w:szCs w:val="24"/>
        </w:rPr>
        <w:t>nákup</w:t>
      </w:r>
      <w:r w:rsidR="00A175F4" w:rsidRPr="00253268">
        <w:rPr>
          <w:rFonts w:cstheme="minorHAnsi"/>
          <w:sz w:val="24"/>
          <w:szCs w:val="24"/>
        </w:rPr>
        <w:t>em</w:t>
      </w:r>
      <w:r w:rsidR="0050070F" w:rsidRPr="00253268">
        <w:rPr>
          <w:rFonts w:cstheme="minorHAnsi"/>
          <w:sz w:val="24"/>
          <w:szCs w:val="24"/>
        </w:rPr>
        <w:t xml:space="preserve"> klimati</w:t>
      </w:r>
      <w:r w:rsidR="00867DF2" w:rsidRPr="00253268">
        <w:rPr>
          <w:rFonts w:cstheme="minorHAnsi"/>
          <w:sz w:val="24"/>
          <w:szCs w:val="24"/>
        </w:rPr>
        <w:t>za</w:t>
      </w:r>
      <w:r w:rsidR="0050070F" w:rsidRPr="00253268">
        <w:rPr>
          <w:rFonts w:cstheme="minorHAnsi"/>
          <w:sz w:val="24"/>
          <w:szCs w:val="24"/>
        </w:rPr>
        <w:t>ce</w:t>
      </w:r>
      <w:r w:rsidR="00A175F4" w:rsidRPr="00253268">
        <w:rPr>
          <w:rFonts w:cstheme="minorHAnsi"/>
          <w:sz w:val="24"/>
          <w:szCs w:val="24"/>
        </w:rPr>
        <w:t>)</w:t>
      </w:r>
      <w:r w:rsidR="0050070F" w:rsidRPr="00253268">
        <w:rPr>
          <w:rFonts w:cstheme="minorHAnsi"/>
          <w:sz w:val="24"/>
          <w:szCs w:val="24"/>
        </w:rPr>
        <w:t xml:space="preserve">. V případě udělení oprávnění radě města </w:t>
      </w:r>
      <w:r w:rsidR="00192ECB" w:rsidRPr="00253268">
        <w:rPr>
          <w:rFonts w:cstheme="minorHAnsi"/>
          <w:sz w:val="24"/>
          <w:szCs w:val="24"/>
        </w:rPr>
        <w:t>schválit rozpoč</w:t>
      </w:r>
      <w:r w:rsidR="00A175F4" w:rsidRPr="00253268">
        <w:rPr>
          <w:rFonts w:cstheme="minorHAnsi"/>
          <w:sz w:val="24"/>
          <w:szCs w:val="24"/>
        </w:rPr>
        <w:t>t</w:t>
      </w:r>
      <w:r w:rsidR="00192ECB" w:rsidRPr="00253268">
        <w:rPr>
          <w:rFonts w:cstheme="minorHAnsi"/>
          <w:sz w:val="24"/>
          <w:szCs w:val="24"/>
        </w:rPr>
        <w:t>ové</w:t>
      </w:r>
      <w:r w:rsidR="00A175F4" w:rsidRPr="00253268">
        <w:rPr>
          <w:rFonts w:cstheme="minorHAnsi"/>
          <w:sz w:val="24"/>
          <w:szCs w:val="24"/>
        </w:rPr>
        <w:t>ho</w:t>
      </w:r>
      <w:r w:rsidR="00192ECB" w:rsidRPr="00253268">
        <w:rPr>
          <w:rFonts w:cstheme="minorHAnsi"/>
          <w:sz w:val="24"/>
          <w:szCs w:val="24"/>
        </w:rPr>
        <w:t xml:space="preserve"> opatření</w:t>
      </w:r>
      <w:r w:rsidR="00A175F4" w:rsidRPr="00253268">
        <w:rPr>
          <w:rFonts w:cstheme="minorHAnsi"/>
          <w:sz w:val="24"/>
          <w:szCs w:val="24"/>
        </w:rPr>
        <w:t xml:space="preserve"> v tomto případě</w:t>
      </w:r>
      <w:r w:rsidR="00192ECB" w:rsidRPr="00253268">
        <w:rPr>
          <w:rFonts w:cstheme="minorHAnsi"/>
          <w:sz w:val="24"/>
          <w:szCs w:val="24"/>
        </w:rPr>
        <w:t xml:space="preserve">, </w:t>
      </w:r>
      <w:r w:rsidR="0050070F" w:rsidRPr="00253268">
        <w:rPr>
          <w:rFonts w:cstheme="minorHAnsi"/>
          <w:sz w:val="24"/>
          <w:szCs w:val="24"/>
        </w:rPr>
        <w:t xml:space="preserve">by </w:t>
      </w:r>
      <w:r w:rsidR="002D6625" w:rsidRPr="00253268">
        <w:rPr>
          <w:rFonts w:cstheme="minorHAnsi"/>
          <w:sz w:val="24"/>
          <w:szCs w:val="24"/>
        </w:rPr>
        <w:t>urychlilo</w:t>
      </w:r>
      <w:r w:rsidR="0050070F" w:rsidRPr="00253268">
        <w:rPr>
          <w:rFonts w:cstheme="minorHAnsi"/>
          <w:sz w:val="24"/>
          <w:szCs w:val="24"/>
        </w:rPr>
        <w:t xml:space="preserve"> řešení tohoto problému. </w:t>
      </w:r>
    </w:p>
    <w:p w14:paraId="6DB8F55F" w14:textId="77777777" w:rsidR="00253268" w:rsidRPr="00253268" w:rsidRDefault="00253268" w:rsidP="0025326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902C8B" w14:textId="22CB5642" w:rsidR="009D6A3D" w:rsidRPr="00253268" w:rsidRDefault="00FC02B2" w:rsidP="0025326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53268">
        <w:rPr>
          <w:rFonts w:cstheme="minorHAnsi"/>
          <w:sz w:val="24"/>
          <w:szCs w:val="24"/>
        </w:rPr>
        <w:t>Provádění rozpočtových opatření radou města by se nemělo stát pravidlem a mělo by nast</w:t>
      </w:r>
      <w:r w:rsidR="008F1C0A" w:rsidRPr="00253268">
        <w:rPr>
          <w:rFonts w:cstheme="minorHAnsi"/>
          <w:sz w:val="24"/>
          <w:szCs w:val="24"/>
        </w:rPr>
        <w:t xml:space="preserve">ávat </w:t>
      </w:r>
      <w:r w:rsidRPr="00253268">
        <w:rPr>
          <w:rFonts w:cstheme="minorHAnsi"/>
          <w:sz w:val="24"/>
          <w:szCs w:val="24"/>
        </w:rPr>
        <w:t>spíš výjimečně – např. mezi dvěma zasedáními zastupitelstva města nebo v závěru roku či na počátku roku následujícího.</w:t>
      </w:r>
    </w:p>
    <w:p w14:paraId="1D43C0E1" w14:textId="44B5A3DB" w:rsidR="00FC02B2" w:rsidRPr="00253268" w:rsidRDefault="00FC02B2" w:rsidP="001E23E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53268">
        <w:rPr>
          <w:rFonts w:cstheme="minorHAnsi"/>
          <w:sz w:val="24"/>
          <w:szCs w:val="24"/>
        </w:rPr>
        <w:t>Prováděním rozpočtových opatření radou města by se neměly řešit věci běžné, provozní – např. nákupy služeb, běžné opravy, mzdová problematika, nákupy energií apod.</w:t>
      </w:r>
    </w:p>
    <w:p w14:paraId="1F7BC2D2" w14:textId="34A515B1" w:rsidR="004A700F" w:rsidRPr="00253268" w:rsidRDefault="008F1C0A" w:rsidP="001E23E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53268">
        <w:rPr>
          <w:rFonts w:cstheme="minorHAnsi"/>
          <w:sz w:val="24"/>
          <w:szCs w:val="24"/>
        </w:rPr>
        <w:t>K zapojení výdajů (s omezením do 1 000,00</w:t>
      </w:r>
      <w:r w:rsidR="003B7639" w:rsidRPr="00253268">
        <w:rPr>
          <w:rFonts w:cstheme="minorHAnsi"/>
          <w:sz w:val="24"/>
          <w:szCs w:val="24"/>
        </w:rPr>
        <w:t xml:space="preserve"> tis.</w:t>
      </w:r>
      <w:r w:rsidRPr="00253268">
        <w:rPr>
          <w:rFonts w:cstheme="minorHAnsi"/>
          <w:sz w:val="24"/>
          <w:szCs w:val="24"/>
        </w:rPr>
        <w:t xml:space="preserve"> Kč úhrnem za jednu položku) může dojít</w:t>
      </w:r>
      <w:r w:rsidR="00253268" w:rsidRPr="00253268">
        <w:rPr>
          <w:rFonts w:cstheme="minorHAnsi"/>
          <w:sz w:val="24"/>
          <w:szCs w:val="24"/>
        </w:rPr>
        <w:t xml:space="preserve"> použitím </w:t>
      </w:r>
      <w:r w:rsidRPr="00253268">
        <w:rPr>
          <w:rFonts w:cstheme="minorHAnsi"/>
          <w:sz w:val="24"/>
          <w:szCs w:val="24"/>
        </w:rPr>
        <w:t>rezerv</w:t>
      </w:r>
      <w:r w:rsidR="00253268" w:rsidRPr="00253268">
        <w:rPr>
          <w:rFonts w:cstheme="minorHAnsi"/>
          <w:sz w:val="24"/>
          <w:szCs w:val="24"/>
        </w:rPr>
        <w:t>y</w:t>
      </w:r>
      <w:r w:rsidRPr="00253268">
        <w:rPr>
          <w:rFonts w:cstheme="minorHAnsi"/>
          <w:sz w:val="24"/>
          <w:szCs w:val="24"/>
        </w:rPr>
        <w:t xml:space="preserve"> v rozpočtu nebo přesu</w:t>
      </w:r>
      <w:r w:rsidR="00253268" w:rsidRPr="00253268">
        <w:rPr>
          <w:rFonts w:cstheme="minorHAnsi"/>
          <w:sz w:val="24"/>
          <w:szCs w:val="24"/>
        </w:rPr>
        <w:t>nem</w:t>
      </w:r>
      <w:r w:rsidRPr="00253268">
        <w:rPr>
          <w:rFonts w:cstheme="minorHAnsi"/>
          <w:sz w:val="24"/>
          <w:szCs w:val="24"/>
        </w:rPr>
        <w:t xml:space="preserve"> finančních prostředků z jiného závazného ukazatele.</w:t>
      </w:r>
    </w:p>
    <w:p w14:paraId="214ED425" w14:textId="682D4D1B" w:rsidR="009D6A3D" w:rsidRPr="00253268" w:rsidRDefault="009D6A3D" w:rsidP="001E23E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6019DB" w14:textId="77777777" w:rsidR="008F1C0A" w:rsidRPr="00253268" w:rsidRDefault="008F1C0A" w:rsidP="001E23E4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7DA941D8" w14:textId="63EA6CE3" w:rsidR="009D6A3D" w:rsidRPr="00253268" w:rsidRDefault="009D6A3D" w:rsidP="001E23E4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253268">
        <w:rPr>
          <w:rFonts w:cstheme="minorHAnsi"/>
          <w:b/>
          <w:bCs/>
          <w:sz w:val="24"/>
          <w:szCs w:val="24"/>
          <w:u w:val="single"/>
        </w:rPr>
        <w:t>Návrh na usnesení pro RM:</w:t>
      </w:r>
    </w:p>
    <w:p w14:paraId="17315124" w14:textId="2754C7B0" w:rsidR="009D6A3D" w:rsidRDefault="009D6A3D" w:rsidP="001E23E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DE0812" w14:textId="77A40ECF" w:rsidR="00547A85" w:rsidRPr="00253268" w:rsidRDefault="00547A85" w:rsidP="00547A8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RM doporučuje </w:t>
      </w:r>
      <w:r w:rsidRPr="00253268">
        <w:rPr>
          <w:rFonts w:cstheme="minorHAnsi"/>
          <w:sz w:val="24"/>
          <w:szCs w:val="24"/>
        </w:rPr>
        <w:t xml:space="preserve">ZM </w:t>
      </w:r>
      <w:r>
        <w:rPr>
          <w:rFonts w:cstheme="minorHAnsi"/>
          <w:sz w:val="24"/>
          <w:szCs w:val="24"/>
        </w:rPr>
        <w:t>zrušit</w:t>
      </w:r>
      <w:r w:rsidRPr="00253268">
        <w:rPr>
          <w:rFonts w:cstheme="minorHAnsi"/>
          <w:sz w:val="24"/>
          <w:szCs w:val="24"/>
        </w:rPr>
        <w:t xml:space="preserve"> rozsah oprávnění RM provádět rozpočtová opatření v rozsahu dle důvodové zprávy, které stanovila usnesením č. 21/8/8/2.</w:t>
      </w:r>
    </w:p>
    <w:p w14:paraId="7A7D636E" w14:textId="2E49D0DA" w:rsidR="00547A85" w:rsidRDefault="00547A85" w:rsidP="001E23E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AAF731" w14:textId="7129FF41" w:rsidR="009D6A3D" w:rsidRPr="00253268" w:rsidRDefault="009D6A3D" w:rsidP="001E23E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53268">
        <w:rPr>
          <w:rFonts w:cstheme="minorHAnsi"/>
          <w:sz w:val="24"/>
          <w:szCs w:val="24"/>
        </w:rPr>
        <w:t>R</w:t>
      </w:r>
      <w:r w:rsidR="00547A85">
        <w:rPr>
          <w:rFonts w:cstheme="minorHAnsi"/>
          <w:sz w:val="24"/>
          <w:szCs w:val="24"/>
        </w:rPr>
        <w:t>M</w:t>
      </w:r>
      <w:r w:rsidRPr="00253268">
        <w:rPr>
          <w:rFonts w:cstheme="minorHAnsi"/>
          <w:sz w:val="24"/>
          <w:szCs w:val="24"/>
        </w:rPr>
        <w:t xml:space="preserve"> doporučuje ZM stanovit v souladu s § 102 odst. 2 písm. a) zákona č. 128/2000 Sb. o obcích (obecní řízení), ve znění pozdějších předpisů kompetenci rady města k provádění rozpočtových opatření v následujícím rozsahu:</w:t>
      </w:r>
    </w:p>
    <w:p w14:paraId="0B2AD380" w14:textId="62162A39" w:rsidR="009D6A3D" w:rsidRPr="00253268" w:rsidRDefault="009D6A3D" w:rsidP="001E23E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DD3262" w14:textId="77777777" w:rsidR="00E02A14" w:rsidRPr="00AC57BD" w:rsidRDefault="00E02A14" w:rsidP="005D0EF0">
      <w:pPr>
        <w:rPr>
          <w:rFonts w:cstheme="minorHAnsi"/>
          <w:sz w:val="24"/>
          <w:szCs w:val="24"/>
          <w:u w:val="single"/>
        </w:rPr>
      </w:pPr>
      <w:r w:rsidRPr="00AC57BD">
        <w:rPr>
          <w:rFonts w:cstheme="minorHAnsi"/>
          <w:sz w:val="24"/>
          <w:szCs w:val="24"/>
          <w:u w:val="single"/>
        </w:rPr>
        <w:t>Bez omezení:</w:t>
      </w:r>
    </w:p>
    <w:p w14:paraId="21E2BBE9" w14:textId="4755C089" w:rsidR="00E02A14" w:rsidRPr="00AC57BD" w:rsidRDefault="00E02A14" w:rsidP="005D0EF0">
      <w:pPr>
        <w:pStyle w:val="Odstavecseseznamem"/>
        <w:numPr>
          <w:ilvl w:val="0"/>
          <w:numId w:val="12"/>
        </w:numPr>
        <w:spacing w:line="256" w:lineRule="auto"/>
        <w:rPr>
          <w:rFonts w:cstheme="minorHAnsi"/>
          <w:sz w:val="24"/>
          <w:szCs w:val="24"/>
        </w:rPr>
      </w:pPr>
      <w:r w:rsidRPr="00AC57BD">
        <w:rPr>
          <w:rFonts w:cstheme="minorHAnsi"/>
          <w:sz w:val="24"/>
          <w:szCs w:val="24"/>
        </w:rPr>
        <w:t>zapojení účelově přidělených finančních prostředků z jiných rozpočtů (státního rozpočtu, rozpočtu kraje, státních fondů atd.),</w:t>
      </w:r>
    </w:p>
    <w:p w14:paraId="124F991D" w14:textId="1D74F20F" w:rsidR="00E02A14" w:rsidRPr="00AC57BD" w:rsidRDefault="00E02A14" w:rsidP="008A2FF8">
      <w:pPr>
        <w:pStyle w:val="Odstavecseseznamem"/>
        <w:numPr>
          <w:ilvl w:val="0"/>
          <w:numId w:val="12"/>
        </w:numPr>
        <w:spacing w:line="256" w:lineRule="auto"/>
        <w:rPr>
          <w:rFonts w:cstheme="minorHAnsi"/>
          <w:sz w:val="24"/>
          <w:szCs w:val="24"/>
        </w:rPr>
      </w:pPr>
      <w:r w:rsidRPr="00AC57BD">
        <w:rPr>
          <w:rFonts w:cstheme="minorHAnsi"/>
          <w:sz w:val="24"/>
          <w:szCs w:val="24"/>
        </w:rPr>
        <w:t>přesun finančních prostředků z kapitálových výdajů do běžných, příp. opačně v rámci jednoho projektu (investiční akce) při zachování celkových výdajů na tento projekt</w:t>
      </w:r>
      <w:r w:rsidR="00FC02B2" w:rsidRPr="00AC57BD">
        <w:rPr>
          <w:rFonts w:cstheme="minorHAnsi"/>
          <w:sz w:val="24"/>
          <w:szCs w:val="24"/>
        </w:rPr>
        <w:t>.</w:t>
      </w:r>
    </w:p>
    <w:p w14:paraId="12B19B3F" w14:textId="77777777" w:rsidR="00E02A14" w:rsidRPr="00AC57BD" w:rsidRDefault="00E02A14" w:rsidP="00E02A14">
      <w:pPr>
        <w:rPr>
          <w:rFonts w:cstheme="minorHAnsi"/>
          <w:sz w:val="24"/>
          <w:szCs w:val="24"/>
          <w:u w:val="single"/>
        </w:rPr>
      </w:pPr>
      <w:r w:rsidRPr="00AC57BD">
        <w:rPr>
          <w:rFonts w:cstheme="minorHAnsi"/>
          <w:sz w:val="24"/>
          <w:szCs w:val="24"/>
          <w:u w:val="single"/>
        </w:rPr>
        <w:t>S omezením do 1 000,00 tis. Kč úhrnem za jednu položku:</w:t>
      </w:r>
    </w:p>
    <w:p w14:paraId="429D6BB8" w14:textId="3AD7C665" w:rsidR="00E02A14" w:rsidRPr="00AC57BD" w:rsidRDefault="00E02A14" w:rsidP="00296C2F">
      <w:pPr>
        <w:pStyle w:val="Odstavecseseznamem"/>
        <w:numPr>
          <w:ilvl w:val="0"/>
          <w:numId w:val="13"/>
        </w:numPr>
        <w:spacing w:line="256" w:lineRule="auto"/>
        <w:rPr>
          <w:rFonts w:cstheme="minorHAnsi"/>
          <w:sz w:val="24"/>
          <w:szCs w:val="24"/>
        </w:rPr>
      </w:pPr>
      <w:r w:rsidRPr="00AC57BD">
        <w:rPr>
          <w:rFonts w:cstheme="minorHAnsi"/>
          <w:sz w:val="24"/>
          <w:szCs w:val="24"/>
        </w:rPr>
        <w:t xml:space="preserve">zapojení výdaje nutného na zajištění chodu obce v případě havárií nebo stavu nouze nebo stavu nebezpečí, </w:t>
      </w:r>
    </w:p>
    <w:p w14:paraId="2C3A55A6" w14:textId="77777777" w:rsidR="00E02A14" w:rsidRPr="00AC57BD" w:rsidRDefault="00E02A14" w:rsidP="00296C2F">
      <w:pPr>
        <w:pStyle w:val="Odstavecseseznamem"/>
        <w:numPr>
          <w:ilvl w:val="0"/>
          <w:numId w:val="13"/>
        </w:numPr>
        <w:spacing w:line="256" w:lineRule="auto"/>
        <w:rPr>
          <w:rFonts w:cstheme="minorHAnsi"/>
          <w:sz w:val="24"/>
          <w:szCs w:val="24"/>
        </w:rPr>
      </w:pPr>
      <w:r w:rsidRPr="00AC57BD">
        <w:rPr>
          <w:rFonts w:cstheme="minorHAnsi"/>
          <w:sz w:val="24"/>
          <w:szCs w:val="24"/>
        </w:rPr>
        <w:t>zapojení výdaje k odvrácení možných škod,</w:t>
      </w:r>
    </w:p>
    <w:p w14:paraId="54F4990B" w14:textId="77777777" w:rsidR="00E02A14" w:rsidRPr="00AC57BD" w:rsidRDefault="00E02A14" w:rsidP="00296C2F">
      <w:pPr>
        <w:pStyle w:val="Odstavecseseznamem"/>
        <w:numPr>
          <w:ilvl w:val="0"/>
          <w:numId w:val="13"/>
        </w:numPr>
        <w:spacing w:line="256" w:lineRule="auto"/>
        <w:rPr>
          <w:rFonts w:cstheme="minorHAnsi"/>
          <w:sz w:val="24"/>
          <w:szCs w:val="24"/>
        </w:rPr>
      </w:pPr>
      <w:r w:rsidRPr="00AC57BD">
        <w:rPr>
          <w:rFonts w:cstheme="minorHAnsi"/>
          <w:sz w:val="24"/>
          <w:szCs w:val="24"/>
        </w:rPr>
        <w:t>zapojení výdaje, kdy včasné provedení úhrady je vázáno penalizací,</w:t>
      </w:r>
    </w:p>
    <w:p w14:paraId="46A02FBC" w14:textId="77777777" w:rsidR="00E02A14" w:rsidRPr="00AC57BD" w:rsidRDefault="00E02A14" w:rsidP="00296C2F">
      <w:pPr>
        <w:pStyle w:val="Odstavecseseznamem"/>
        <w:numPr>
          <w:ilvl w:val="0"/>
          <w:numId w:val="13"/>
        </w:numPr>
        <w:spacing w:line="256" w:lineRule="auto"/>
        <w:rPr>
          <w:rFonts w:cstheme="minorHAnsi"/>
          <w:sz w:val="24"/>
          <w:szCs w:val="24"/>
        </w:rPr>
      </w:pPr>
      <w:r w:rsidRPr="00AC57BD">
        <w:rPr>
          <w:rFonts w:cstheme="minorHAnsi"/>
          <w:sz w:val="24"/>
          <w:szCs w:val="24"/>
        </w:rPr>
        <w:t>zapojení výdaje na úhrady pokut, penále z rozhodnutí nadřízených orgánů a dohledů a další nutné výdaje, kdy schválení rozpočtového opatření je nezbytné a má jen formální charakter, protože výdaj musí být realizován,</w:t>
      </w:r>
    </w:p>
    <w:p w14:paraId="0A5418FD" w14:textId="75DF7469" w:rsidR="00E02A14" w:rsidRPr="00AC57BD" w:rsidRDefault="00E02A14" w:rsidP="00296C2F">
      <w:pPr>
        <w:pStyle w:val="Odstavecseseznamem"/>
        <w:numPr>
          <w:ilvl w:val="0"/>
          <w:numId w:val="13"/>
        </w:numPr>
        <w:spacing w:line="256" w:lineRule="auto"/>
        <w:rPr>
          <w:rFonts w:cstheme="minorHAnsi"/>
          <w:sz w:val="24"/>
          <w:szCs w:val="24"/>
        </w:rPr>
      </w:pPr>
      <w:r w:rsidRPr="00AC57BD">
        <w:rPr>
          <w:rFonts w:cstheme="minorHAnsi"/>
          <w:sz w:val="24"/>
          <w:szCs w:val="24"/>
        </w:rPr>
        <w:t>přesuny mezi závaznými ukazateli v rámci téže kapitoly (skupiny), z důvodu změny účelu užití finančních prostředků</w:t>
      </w:r>
      <w:r w:rsidR="0028705B" w:rsidRPr="00AC57BD">
        <w:rPr>
          <w:rFonts w:cstheme="minorHAnsi"/>
          <w:sz w:val="24"/>
          <w:szCs w:val="24"/>
        </w:rPr>
        <w:t xml:space="preserve"> v případech, které nesnesou odkladu</w:t>
      </w:r>
      <w:r w:rsidR="00FC02B2" w:rsidRPr="00AC57BD">
        <w:rPr>
          <w:rFonts w:cstheme="minorHAnsi"/>
          <w:sz w:val="24"/>
          <w:szCs w:val="24"/>
        </w:rPr>
        <w:t>.</w:t>
      </w:r>
    </w:p>
    <w:p w14:paraId="075EAB45" w14:textId="77777777" w:rsidR="00E02A14" w:rsidRPr="00253268" w:rsidRDefault="00E02A14" w:rsidP="001E23E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207F04" w14:textId="77777777" w:rsidR="00547A85" w:rsidRDefault="00547A85" w:rsidP="00E02A14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6F13F8D1" w14:textId="77777777" w:rsidR="00547A85" w:rsidRDefault="00547A85" w:rsidP="00E02A14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092EACFF" w14:textId="4CB5A1FB" w:rsidR="00E02A14" w:rsidRPr="00253268" w:rsidRDefault="00E02A14" w:rsidP="00E02A14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253268">
        <w:rPr>
          <w:rFonts w:cstheme="minorHAnsi"/>
          <w:b/>
          <w:bCs/>
          <w:sz w:val="24"/>
          <w:szCs w:val="24"/>
          <w:u w:val="single"/>
        </w:rPr>
        <w:lastRenderedPageBreak/>
        <w:t>Návrh na usnesení pro ZM:</w:t>
      </w:r>
    </w:p>
    <w:p w14:paraId="2F2E1A0D" w14:textId="77777777" w:rsidR="00E02A14" w:rsidRPr="00253268" w:rsidRDefault="00E02A14" w:rsidP="001E23E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DE0111" w14:textId="344AA87A" w:rsidR="00E02A14" w:rsidRPr="00253268" w:rsidRDefault="00E02A14" w:rsidP="001E23E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53268">
        <w:rPr>
          <w:rFonts w:cstheme="minorHAnsi"/>
          <w:sz w:val="24"/>
          <w:szCs w:val="24"/>
        </w:rPr>
        <w:t>ZM ruší rozsah oprávnění RM provádět rozpočtová opatření v rozsahu dle důvodové zprávy, které stanovila usnesením č. 21/8/8/2.</w:t>
      </w:r>
    </w:p>
    <w:p w14:paraId="398C604C" w14:textId="1FFABE3B" w:rsidR="00E02A14" w:rsidRPr="00253268" w:rsidRDefault="00E02A14" w:rsidP="001E23E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1ACDE9" w14:textId="383F0163" w:rsidR="008F1C0A" w:rsidRPr="00253268" w:rsidRDefault="00D32B49" w:rsidP="008F1C0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53268">
        <w:rPr>
          <w:rFonts w:cstheme="minorHAnsi"/>
          <w:sz w:val="24"/>
          <w:szCs w:val="24"/>
        </w:rPr>
        <w:t>ZM stanovuje v souladu s § 102 odst. 2 písm. a) zákona č. 128/2000 Sb. o obcích (obecní řízení), ve znění pozdějších předpisů kompetenci rady města k provádění rozpočtových opatření v následujícím rozsahu:</w:t>
      </w:r>
    </w:p>
    <w:p w14:paraId="6424F98C" w14:textId="77777777" w:rsidR="005D0EF0" w:rsidRPr="00253268" w:rsidRDefault="005D0EF0" w:rsidP="008F1C0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CFEF66" w14:textId="30404EC6" w:rsidR="00E02A14" w:rsidRPr="00253268" w:rsidRDefault="00E02A14" w:rsidP="005D0EF0">
      <w:pPr>
        <w:spacing w:line="240" w:lineRule="auto"/>
        <w:jc w:val="both"/>
        <w:rPr>
          <w:rFonts w:cstheme="minorHAnsi"/>
          <w:sz w:val="24"/>
          <w:szCs w:val="24"/>
        </w:rPr>
      </w:pPr>
      <w:r w:rsidRPr="00253268">
        <w:rPr>
          <w:rFonts w:cstheme="minorHAnsi"/>
          <w:sz w:val="24"/>
          <w:szCs w:val="24"/>
          <w:u w:val="single"/>
        </w:rPr>
        <w:t>Bez omezení:</w:t>
      </w:r>
    </w:p>
    <w:p w14:paraId="131FD228" w14:textId="77777777" w:rsidR="00E02A14" w:rsidRPr="00253268" w:rsidRDefault="00E02A14" w:rsidP="005D0EF0">
      <w:pPr>
        <w:pStyle w:val="Odstavecseseznamem"/>
        <w:numPr>
          <w:ilvl w:val="0"/>
          <w:numId w:val="14"/>
        </w:numPr>
        <w:spacing w:line="256" w:lineRule="auto"/>
        <w:rPr>
          <w:rFonts w:cstheme="minorHAnsi"/>
          <w:sz w:val="24"/>
          <w:szCs w:val="24"/>
        </w:rPr>
      </w:pPr>
      <w:r w:rsidRPr="00253268">
        <w:rPr>
          <w:rFonts w:cstheme="minorHAnsi"/>
          <w:sz w:val="24"/>
          <w:szCs w:val="24"/>
        </w:rPr>
        <w:t>zapojení účelově přidělených finančních prostředků z jiných rozpočtů (státního rozpočtu, rozpočtu kraje, státních fondů atd.),</w:t>
      </w:r>
    </w:p>
    <w:p w14:paraId="46CE018D" w14:textId="4B8D7D26" w:rsidR="00E02A14" w:rsidRPr="00253268" w:rsidRDefault="00E02A14" w:rsidP="00296C2F">
      <w:pPr>
        <w:pStyle w:val="Odstavecseseznamem"/>
        <w:numPr>
          <w:ilvl w:val="0"/>
          <w:numId w:val="14"/>
        </w:numPr>
        <w:spacing w:line="256" w:lineRule="auto"/>
        <w:rPr>
          <w:rFonts w:cstheme="minorHAnsi"/>
          <w:sz w:val="24"/>
          <w:szCs w:val="24"/>
        </w:rPr>
      </w:pPr>
      <w:r w:rsidRPr="00253268">
        <w:rPr>
          <w:rFonts w:cstheme="minorHAnsi"/>
          <w:sz w:val="24"/>
          <w:szCs w:val="24"/>
        </w:rPr>
        <w:t>přesun finančních prostředků z kapitálových výdajů do běžných, příp. opačně v rámci jednoho projektu (investiční akce) při zachování celkových výdajů na tento projekt</w:t>
      </w:r>
      <w:r w:rsidR="00FC02B2" w:rsidRPr="00253268">
        <w:rPr>
          <w:rFonts w:cstheme="minorHAnsi"/>
          <w:sz w:val="24"/>
          <w:szCs w:val="24"/>
        </w:rPr>
        <w:t>.</w:t>
      </w:r>
    </w:p>
    <w:p w14:paraId="681E60D3" w14:textId="77777777" w:rsidR="00E02A14" w:rsidRPr="00253268" w:rsidRDefault="00E02A14" w:rsidP="005D0EF0">
      <w:pPr>
        <w:rPr>
          <w:rFonts w:cstheme="minorHAnsi"/>
          <w:sz w:val="24"/>
          <w:szCs w:val="24"/>
          <w:u w:val="single"/>
        </w:rPr>
      </w:pPr>
      <w:r w:rsidRPr="00253268">
        <w:rPr>
          <w:rFonts w:cstheme="minorHAnsi"/>
          <w:sz w:val="24"/>
          <w:szCs w:val="24"/>
          <w:u w:val="single"/>
        </w:rPr>
        <w:t>S omezením do 1 000,00 tis. Kč úhrnem za jednu položku:</w:t>
      </w:r>
    </w:p>
    <w:p w14:paraId="7075805A" w14:textId="77777777" w:rsidR="00E02A14" w:rsidRPr="00FC02B2" w:rsidRDefault="00E02A14" w:rsidP="005D0EF0">
      <w:pPr>
        <w:pStyle w:val="Odstavecseseznamem"/>
        <w:numPr>
          <w:ilvl w:val="0"/>
          <w:numId w:val="15"/>
        </w:numPr>
        <w:spacing w:line="256" w:lineRule="auto"/>
        <w:rPr>
          <w:rFonts w:cstheme="minorHAnsi"/>
          <w:sz w:val="24"/>
          <w:szCs w:val="24"/>
        </w:rPr>
      </w:pPr>
      <w:r w:rsidRPr="00253268">
        <w:rPr>
          <w:rFonts w:cstheme="minorHAnsi"/>
          <w:sz w:val="24"/>
          <w:szCs w:val="24"/>
        </w:rPr>
        <w:t xml:space="preserve">zapojení výdaje nutného na zajištění chodu obce v případě havárií nebo stavu nouze </w:t>
      </w:r>
      <w:r w:rsidRPr="00FC02B2">
        <w:rPr>
          <w:rFonts w:cstheme="minorHAnsi"/>
          <w:sz w:val="24"/>
          <w:szCs w:val="24"/>
        </w:rPr>
        <w:t xml:space="preserve">nebo stavu nebezpečí, </w:t>
      </w:r>
    </w:p>
    <w:p w14:paraId="66C9E6A4" w14:textId="77777777" w:rsidR="00E02A14" w:rsidRPr="00FC02B2" w:rsidRDefault="00E02A14" w:rsidP="00296C2F">
      <w:pPr>
        <w:pStyle w:val="Odstavecseseznamem"/>
        <w:numPr>
          <w:ilvl w:val="0"/>
          <w:numId w:val="15"/>
        </w:numPr>
        <w:spacing w:line="256" w:lineRule="auto"/>
        <w:rPr>
          <w:rFonts w:cstheme="minorHAnsi"/>
          <w:sz w:val="24"/>
          <w:szCs w:val="24"/>
        </w:rPr>
      </w:pPr>
      <w:r w:rsidRPr="00FC02B2">
        <w:rPr>
          <w:rFonts w:cstheme="minorHAnsi"/>
          <w:sz w:val="24"/>
          <w:szCs w:val="24"/>
        </w:rPr>
        <w:t>zapojení výdaje k odvrácení možných škod,</w:t>
      </w:r>
    </w:p>
    <w:p w14:paraId="6AA21BC9" w14:textId="77777777" w:rsidR="00E02A14" w:rsidRPr="00FC02B2" w:rsidRDefault="00E02A14" w:rsidP="00296C2F">
      <w:pPr>
        <w:pStyle w:val="Odstavecseseznamem"/>
        <w:numPr>
          <w:ilvl w:val="0"/>
          <w:numId w:val="15"/>
        </w:numPr>
        <w:spacing w:line="256" w:lineRule="auto"/>
        <w:rPr>
          <w:rFonts w:cstheme="minorHAnsi"/>
          <w:sz w:val="24"/>
          <w:szCs w:val="24"/>
        </w:rPr>
      </w:pPr>
      <w:r w:rsidRPr="00FC02B2">
        <w:rPr>
          <w:rFonts w:cstheme="minorHAnsi"/>
          <w:sz w:val="24"/>
          <w:szCs w:val="24"/>
        </w:rPr>
        <w:t>zapojení výdaje, kdy včasné provedení úhrady je vázáno penalizací,</w:t>
      </w:r>
    </w:p>
    <w:p w14:paraId="6810D1AC" w14:textId="77777777" w:rsidR="00E02A14" w:rsidRPr="00296C2F" w:rsidRDefault="00E02A14" w:rsidP="00296C2F">
      <w:pPr>
        <w:pStyle w:val="Odstavecseseznamem"/>
        <w:numPr>
          <w:ilvl w:val="0"/>
          <w:numId w:val="15"/>
        </w:numPr>
        <w:spacing w:line="256" w:lineRule="auto"/>
        <w:rPr>
          <w:rFonts w:cstheme="minorHAnsi"/>
          <w:sz w:val="24"/>
          <w:szCs w:val="24"/>
        </w:rPr>
      </w:pPr>
      <w:r w:rsidRPr="00296C2F">
        <w:rPr>
          <w:rFonts w:cstheme="minorHAnsi"/>
          <w:sz w:val="24"/>
          <w:szCs w:val="24"/>
        </w:rPr>
        <w:t>zapojení výdaje na úhrady pokut, penále z rozhodnutí nadřízených orgánů a dohledů a další nutné výdaje, kdy schválení rozpočtového opatření je nezbytné a má jen formální charakter, protože výdaj musí být realizován,</w:t>
      </w:r>
    </w:p>
    <w:p w14:paraId="6848A3A6" w14:textId="45E531FB" w:rsidR="00E02A14" w:rsidRPr="00253268" w:rsidRDefault="00E02A14" w:rsidP="00296C2F">
      <w:pPr>
        <w:pStyle w:val="Odstavecseseznamem"/>
        <w:numPr>
          <w:ilvl w:val="0"/>
          <w:numId w:val="15"/>
        </w:numPr>
        <w:spacing w:line="256" w:lineRule="auto"/>
        <w:rPr>
          <w:rFonts w:cstheme="minorHAnsi"/>
          <w:sz w:val="24"/>
          <w:szCs w:val="24"/>
        </w:rPr>
      </w:pPr>
      <w:r w:rsidRPr="00FC02B2">
        <w:rPr>
          <w:rFonts w:cstheme="minorHAnsi"/>
          <w:sz w:val="24"/>
          <w:szCs w:val="24"/>
        </w:rPr>
        <w:t>přesuny mezi závaznými ukazateli v rámci téže kapitoly (skupiny), z důvodu změny účelu užití finančních prostředků</w:t>
      </w:r>
      <w:r w:rsidR="0028705B">
        <w:rPr>
          <w:rFonts w:cstheme="minorHAnsi"/>
          <w:sz w:val="24"/>
          <w:szCs w:val="24"/>
        </w:rPr>
        <w:t xml:space="preserve"> </w:t>
      </w:r>
      <w:r w:rsidR="0028705B" w:rsidRPr="00253268">
        <w:rPr>
          <w:rFonts w:cstheme="minorHAnsi"/>
          <w:sz w:val="24"/>
          <w:szCs w:val="24"/>
        </w:rPr>
        <w:t>v případech, které nesnesou odkladu</w:t>
      </w:r>
      <w:r w:rsidR="00FC02B2" w:rsidRPr="00253268">
        <w:rPr>
          <w:rFonts w:cstheme="minorHAnsi"/>
          <w:sz w:val="24"/>
          <w:szCs w:val="24"/>
        </w:rPr>
        <w:t>.</w:t>
      </w:r>
    </w:p>
    <w:p w14:paraId="67B4BD52" w14:textId="77777777" w:rsidR="00E02A14" w:rsidRPr="00FC02B2" w:rsidRDefault="00E02A14" w:rsidP="001E23E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588FF3" w14:textId="77777777" w:rsidR="00E02A14" w:rsidRPr="00FC02B2" w:rsidRDefault="00E02A14" w:rsidP="00E02A1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AF1346" w14:textId="3926438C" w:rsidR="009D6A3D" w:rsidRDefault="00F14B16" w:rsidP="001E23E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Zpracoval:</w:t>
      </w:r>
    </w:p>
    <w:p w14:paraId="0BFA12D3" w14:textId="10068D10" w:rsidR="00F14B16" w:rsidRDefault="00F14B16" w:rsidP="001E23E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Bc. Friedlová</w:t>
      </w:r>
    </w:p>
    <w:p w14:paraId="665E51C1" w14:textId="720194B3" w:rsidR="00F14B16" w:rsidRPr="00FC02B2" w:rsidRDefault="00F14B16" w:rsidP="001E23E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Ing. Nenutilová</w:t>
      </w:r>
    </w:p>
    <w:p w14:paraId="442A3A94" w14:textId="2316291E" w:rsidR="009D6A3D" w:rsidRPr="00FC02B2" w:rsidRDefault="009D6A3D" w:rsidP="001E23E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342636" w14:textId="6788E824" w:rsidR="009D6A3D" w:rsidRDefault="009D6A3D" w:rsidP="001E23E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3E9BE7" w14:textId="32EDE2A9" w:rsidR="00071A2A" w:rsidRDefault="00071A2A" w:rsidP="001E23E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Materiál byl projednaný na 37. schůzi RM dne 06.10.2020 s následujícím usnesením:</w:t>
      </w:r>
    </w:p>
    <w:p w14:paraId="6B1D4475" w14:textId="77777777" w:rsidR="00071A2A" w:rsidRDefault="00071A2A" w:rsidP="001E23E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FCEDC2" w14:textId="77777777" w:rsidR="00071A2A" w:rsidRDefault="00071A2A" w:rsidP="00071A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 xml:space="preserve">43/37/RM/2020 </w:t>
      </w:r>
      <w:r>
        <w:rPr>
          <w:rFonts w:ascii="CIDFont+F1" w:hAnsi="CIDFont+F1" w:cs="CIDFont+F1"/>
          <w:sz w:val="24"/>
          <w:szCs w:val="24"/>
        </w:rPr>
        <w:t>Provádění rozpočtových opatření radou města</w:t>
      </w:r>
    </w:p>
    <w:p w14:paraId="5F39CD45" w14:textId="77777777" w:rsidR="00071A2A" w:rsidRDefault="00071A2A" w:rsidP="00071A2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(č. bodu programu: 45)</w:t>
      </w:r>
    </w:p>
    <w:p w14:paraId="4784A6D6" w14:textId="77777777" w:rsidR="00071A2A" w:rsidRDefault="00071A2A" w:rsidP="00071A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I. Rada města doporučuje zastupitelstvu města</w:t>
      </w:r>
    </w:p>
    <w:p w14:paraId="47013742" w14:textId="77777777" w:rsidR="00071A2A" w:rsidRDefault="00071A2A" w:rsidP="00071A2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zrušit rozsah oprávnění rady města provádět rozpočtová opatření v rozsahu dle důvodové zprávy, které stanovila</w:t>
      </w:r>
    </w:p>
    <w:p w14:paraId="14B1BED0" w14:textId="77777777" w:rsidR="00071A2A" w:rsidRDefault="00071A2A" w:rsidP="00071A2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usnesením č. 21/8/8/2.</w:t>
      </w:r>
    </w:p>
    <w:p w14:paraId="01F1F141" w14:textId="77777777" w:rsidR="00071A2A" w:rsidRDefault="00071A2A" w:rsidP="00071A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II. Rada města doporučuje zastupitelstvu města</w:t>
      </w:r>
    </w:p>
    <w:p w14:paraId="39C10D3A" w14:textId="77777777" w:rsidR="00071A2A" w:rsidRDefault="00071A2A" w:rsidP="00071A2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stanovit v souladu s § 102 odst. 2 písm. a) zákona č. 128/2000 Sb. o obcích (obecní řízení), ve znění</w:t>
      </w:r>
    </w:p>
    <w:p w14:paraId="3E252FE8" w14:textId="77777777" w:rsidR="00071A2A" w:rsidRDefault="00071A2A" w:rsidP="00071A2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pozdějších předpisů kompetenci rady města k provádění rozpočtových opatření v následujícím rozsahu:</w:t>
      </w:r>
    </w:p>
    <w:p w14:paraId="33ABACDA" w14:textId="77777777" w:rsidR="00071A2A" w:rsidRDefault="00071A2A" w:rsidP="00071A2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Bez omezení:</w:t>
      </w:r>
    </w:p>
    <w:p w14:paraId="5C12EB4E" w14:textId="77777777" w:rsidR="00071A2A" w:rsidRDefault="00071A2A" w:rsidP="00071A2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1. zapojení účelově přidělených finančních prostředků z jiných rozpočtů (státního rozpočtu, rozpočtu kraje,</w:t>
      </w:r>
    </w:p>
    <w:p w14:paraId="5CD9ED72" w14:textId="77777777" w:rsidR="00071A2A" w:rsidRDefault="00071A2A" w:rsidP="00071A2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státních fondů atd.),</w:t>
      </w:r>
    </w:p>
    <w:p w14:paraId="2F770DA6" w14:textId="77777777" w:rsidR="00071A2A" w:rsidRDefault="00071A2A" w:rsidP="00071A2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2.přesun finančních prostředků z kapitálových výdajů do běžných, příp. opačně v rámci jednoho projektu</w:t>
      </w:r>
    </w:p>
    <w:p w14:paraId="05536DFA" w14:textId="77777777" w:rsidR="00071A2A" w:rsidRDefault="00071A2A" w:rsidP="00071A2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lastRenderedPageBreak/>
        <w:t>(investiční akce) při zachování celkových výdajů na tento projekt.</w:t>
      </w:r>
    </w:p>
    <w:p w14:paraId="6CAECD09" w14:textId="77777777" w:rsidR="00071A2A" w:rsidRDefault="00071A2A" w:rsidP="00071A2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S omezením do 1 000,00 tis. Kč úhrnem za jednu položku:</w:t>
      </w:r>
    </w:p>
    <w:p w14:paraId="08FCBB79" w14:textId="77777777" w:rsidR="00071A2A" w:rsidRDefault="00071A2A" w:rsidP="00071A2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1. zapojení výdaje nutného na zajištění chodu obce v případě havárií nebo stavu nouze nebo stavu nebezpečí,</w:t>
      </w:r>
    </w:p>
    <w:p w14:paraId="62B0C555" w14:textId="77777777" w:rsidR="00071A2A" w:rsidRDefault="00071A2A" w:rsidP="00071A2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2. zapojení výdaje k odvrácení možných škod,</w:t>
      </w:r>
    </w:p>
    <w:p w14:paraId="328F2672" w14:textId="77777777" w:rsidR="00071A2A" w:rsidRDefault="00071A2A" w:rsidP="00071A2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3. zapojení výdaje, kdy včasné provedení úhrady je vázáno penalizací,</w:t>
      </w:r>
    </w:p>
    <w:p w14:paraId="38C2B1B7" w14:textId="77777777" w:rsidR="00071A2A" w:rsidRDefault="00071A2A" w:rsidP="00071A2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4. zapojení výdaje na úhrady pokut, penále z rozhodnutí nadřízených orgánů a dohledů a další nutné výdaje, kdy</w:t>
      </w:r>
    </w:p>
    <w:p w14:paraId="20288C34" w14:textId="77777777" w:rsidR="00071A2A" w:rsidRDefault="00071A2A" w:rsidP="00071A2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schválení rozpočtového opatření je nezbytné a má jen formální charakter, protože výdaj musí být realizován,</w:t>
      </w:r>
    </w:p>
    <w:p w14:paraId="4E976EBF" w14:textId="77777777" w:rsidR="00071A2A" w:rsidRDefault="00071A2A" w:rsidP="00071A2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5. přesuny mezi závaznými ukazateli v rámci téže kapitoly (skupiny), z důvodu změny účelu užití finančních</w:t>
      </w:r>
    </w:p>
    <w:p w14:paraId="228076A5" w14:textId="5CD83F41" w:rsidR="00071A2A" w:rsidRDefault="00071A2A" w:rsidP="00071A2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prostředků v případech, které nesnesou odkladu.</w:t>
      </w:r>
    </w:p>
    <w:p w14:paraId="6EFF791A" w14:textId="59D5C824" w:rsidR="00071A2A" w:rsidRDefault="00071A2A" w:rsidP="00071A2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</w:p>
    <w:p w14:paraId="18F140EE" w14:textId="77777777" w:rsidR="005951FF" w:rsidRDefault="005951FF" w:rsidP="005951FF">
      <w:pPr>
        <w:spacing w:after="0"/>
        <w:rPr>
          <w:rFonts w:cstheme="minorHAnsi"/>
          <w:sz w:val="24"/>
          <w:szCs w:val="24"/>
        </w:rPr>
      </w:pPr>
    </w:p>
    <w:p w14:paraId="6C3F8D14" w14:textId="46E6A268" w:rsidR="005951FF" w:rsidRDefault="005951FF" w:rsidP="005951FF">
      <w:pPr>
        <w:spacing w:after="0"/>
        <w:rPr>
          <w:rFonts w:cstheme="minorHAnsi"/>
          <w:sz w:val="24"/>
          <w:szCs w:val="24"/>
        </w:rPr>
      </w:pPr>
      <w:r w:rsidRPr="005951FF">
        <w:rPr>
          <w:rFonts w:cstheme="minorHAnsi"/>
          <w:sz w:val="24"/>
          <w:szCs w:val="24"/>
        </w:rPr>
        <w:t xml:space="preserve">Materiál byl projednaný rovněž na </w:t>
      </w:r>
      <w:r w:rsidRPr="005951FF">
        <w:rPr>
          <w:rFonts w:cstheme="minorHAnsi"/>
          <w:sz w:val="24"/>
          <w:szCs w:val="24"/>
        </w:rPr>
        <w:t>1</w:t>
      </w:r>
      <w:r w:rsidRPr="005951FF">
        <w:rPr>
          <w:rFonts w:cstheme="minorHAnsi"/>
          <w:sz w:val="24"/>
          <w:szCs w:val="24"/>
        </w:rPr>
        <w:t>5</w:t>
      </w:r>
      <w:r w:rsidRPr="005951FF">
        <w:rPr>
          <w:rFonts w:cstheme="minorHAnsi"/>
          <w:sz w:val="24"/>
          <w:szCs w:val="24"/>
        </w:rPr>
        <w:t xml:space="preserve">. jednání finančního výboru zastupitelstva města </w:t>
      </w:r>
    </w:p>
    <w:p w14:paraId="5D1423B6" w14:textId="4DDD893C" w:rsidR="005951FF" w:rsidRPr="005951FF" w:rsidRDefault="005951FF" w:rsidP="005951FF">
      <w:pPr>
        <w:spacing w:after="0"/>
        <w:rPr>
          <w:rFonts w:cstheme="minorHAnsi"/>
          <w:sz w:val="24"/>
          <w:szCs w:val="24"/>
        </w:rPr>
      </w:pPr>
      <w:r w:rsidRPr="005951FF">
        <w:rPr>
          <w:rFonts w:cstheme="minorHAnsi"/>
          <w:sz w:val="24"/>
          <w:szCs w:val="24"/>
        </w:rPr>
        <w:t xml:space="preserve">konaného dne </w:t>
      </w:r>
      <w:r w:rsidRPr="005951FF">
        <w:rPr>
          <w:rFonts w:cstheme="minorHAnsi"/>
          <w:sz w:val="24"/>
          <w:szCs w:val="24"/>
        </w:rPr>
        <w:t>07.10.2020</w:t>
      </w:r>
      <w:r>
        <w:rPr>
          <w:rFonts w:cstheme="minorHAnsi"/>
          <w:sz w:val="24"/>
          <w:szCs w:val="24"/>
        </w:rPr>
        <w:t>.</w:t>
      </w:r>
    </w:p>
    <w:p w14:paraId="796BE3EB" w14:textId="68AAE93D" w:rsidR="00071A2A" w:rsidRDefault="00071A2A" w:rsidP="00071A2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</w:p>
    <w:p w14:paraId="1F5AC266" w14:textId="77777777" w:rsidR="005951FF" w:rsidRDefault="005951FF" w:rsidP="00071A2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3A1A59" w14:textId="7A54B96F" w:rsidR="00071A2A" w:rsidRDefault="00071A2A" w:rsidP="00071A2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Komentář doplnila dne 12. 10. 2020:</w:t>
      </w:r>
    </w:p>
    <w:p w14:paraId="7D96D393" w14:textId="77777777" w:rsidR="00071A2A" w:rsidRPr="00FC02B2" w:rsidRDefault="00071A2A" w:rsidP="00071A2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Ing. Nenutilová</w:t>
      </w:r>
    </w:p>
    <w:p w14:paraId="7A5CCEE8" w14:textId="57A93279" w:rsidR="00071A2A" w:rsidRDefault="00071A2A" w:rsidP="00071A2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</w:p>
    <w:sectPr w:rsidR="0007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07F8E"/>
    <w:multiLevelType w:val="hybridMultilevel"/>
    <w:tmpl w:val="9AEE4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7C03"/>
    <w:multiLevelType w:val="hybridMultilevel"/>
    <w:tmpl w:val="71786FE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56D71"/>
    <w:multiLevelType w:val="hybridMultilevel"/>
    <w:tmpl w:val="546295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058CF"/>
    <w:multiLevelType w:val="hybridMultilevel"/>
    <w:tmpl w:val="6816A97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633D5"/>
    <w:multiLevelType w:val="hybridMultilevel"/>
    <w:tmpl w:val="4552BD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0F3A91"/>
    <w:multiLevelType w:val="multilevel"/>
    <w:tmpl w:val="3DBE1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BF483B"/>
    <w:multiLevelType w:val="hybridMultilevel"/>
    <w:tmpl w:val="80A6DC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3F5658"/>
    <w:multiLevelType w:val="hybridMultilevel"/>
    <w:tmpl w:val="BE9E3896"/>
    <w:lvl w:ilvl="0" w:tplc="07129D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57001"/>
    <w:multiLevelType w:val="hybridMultilevel"/>
    <w:tmpl w:val="98D25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56E7B"/>
    <w:multiLevelType w:val="multilevel"/>
    <w:tmpl w:val="5782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F56CED"/>
    <w:multiLevelType w:val="hybridMultilevel"/>
    <w:tmpl w:val="3384A7D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F6F52B0"/>
    <w:multiLevelType w:val="hybridMultilevel"/>
    <w:tmpl w:val="BA98027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B78E2"/>
    <w:multiLevelType w:val="hybridMultilevel"/>
    <w:tmpl w:val="FDE02C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F84DCD"/>
    <w:multiLevelType w:val="multilevel"/>
    <w:tmpl w:val="3DBE1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13"/>
  </w:num>
  <w:num w:numId="12">
    <w:abstractNumId w:val="3"/>
  </w:num>
  <w:num w:numId="13">
    <w:abstractNumId w:val="1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49"/>
    <w:rsid w:val="00071A2A"/>
    <w:rsid w:val="00084189"/>
    <w:rsid w:val="00111296"/>
    <w:rsid w:val="001570AC"/>
    <w:rsid w:val="00192ECB"/>
    <w:rsid w:val="001E23E4"/>
    <w:rsid w:val="00253268"/>
    <w:rsid w:val="00284BF0"/>
    <w:rsid w:val="00285FBF"/>
    <w:rsid w:val="0028705B"/>
    <w:rsid w:val="00296C2F"/>
    <w:rsid w:val="002D6625"/>
    <w:rsid w:val="0034569A"/>
    <w:rsid w:val="003A79CA"/>
    <w:rsid w:val="003B7639"/>
    <w:rsid w:val="003E4786"/>
    <w:rsid w:val="00454D93"/>
    <w:rsid w:val="004A700F"/>
    <w:rsid w:val="0050070F"/>
    <w:rsid w:val="00531422"/>
    <w:rsid w:val="00547A85"/>
    <w:rsid w:val="005951FF"/>
    <w:rsid w:val="005B217C"/>
    <w:rsid w:val="005D0EF0"/>
    <w:rsid w:val="006076A8"/>
    <w:rsid w:val="0066659A"/>
    <w:rsid w:val="006D0E04"/>
    <w:rsid w:val="00801118"/>
    <w:rsid w:val="00867DF2"/>
    <w:rsid w:val="008A2FF8"/>
    <w:rsid w:val="008C4B4E"/>
    <w:rsid w:val="008F1C0A"/>
    <w:rsid w:val="00932BBB"/>
    <w:rsid w:val="009608D6"/>
    <w:rsid w:val="00964C91"/>
    <w:rsid w:val="009D6A3D"/>
    <w:rsid w:val="009D7F6B"/>
    <w:rsid w:val="00A175F4"/>
    <w:rsid w:val="00AC57BD"/>
    <w:rsid w:val="00C402A4"/>
    <w:rsid w:val="00C66585"/>
    <w:rsid w:val="00CD2C49"/>
    <w:rsid w:val="00D32B49"/>
    <w:rsid w:val="00E02A14"/>
    <w:rsid w:val="00E8319F"/>
    <w:rsid w:val="00EA3E3A"/>
    <w:rsid w:val="00F14B16"/>
    <w:rsid w:val="00F72C18"/>
    <w:rsid w:val="00F747ED"/>
    <w:rsid w:val="00FC02B2"/>
    <w:rsid w:val="00F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7B2C"/>
  <w15:chartTrackingRefBased/>
  <w15:docId w15:val="{BCB98103-DFD6-4F35-9BAF-96AF4F14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4D9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1129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1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eneratedp">
    <w:name w:val="generatedp"/>
    <w:basedOn w:val="Normln"/>
    <w:rsid w:val="006D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1">
    <w:name w:val="l41"/>
    <w:basedOn w:val="Normln"/>
    <w:rsid w:val="006D0E04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1">
    <w:name w:val="l51"/>
    <w:basedOn w:val="Normln"/>
    <w:rsid w:val="006D0E04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1">
    <w:name w:val="l61"/>
    <w:basedOn w:val="Normln"/>
    <w:rsid w:val="006D0E04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M-Nvrhusnesen">
    <w:name w:val="ZM - Návrh usnesení"/>
    <w:basedOn w:val="Normln"/>
    <w:rsid w:val="00E02A14"/>
    <w:pPr>
      <w:spacing w:after="0" w:line="240" w:lineRule="auto"/>
      <w:ind w:left="1405" w:hanging="1405"/>
      <w:jc w:val="both"/>
    </w:pPr>
    <w:rPr>
      <w:rFonts w:ascii="Calibri" w:eastAsia="Times New Roman" w:hAnsi="Calibri" w:cs="Times New Roman"/>
      <w:sz w:val="24"/>
      <w:szCs w:val="20"/>
      <w:lang w:eastAsia="cs-CZ"/>
    </w:rPr>
  </w:style>
  <w:style w:type="paragraph" w:customStyle="1" w:styleId="RM-Nvrhusnesen">
    <w:name w:val="RM - Návrh usnesení"/>
    <w:basedOn w:val="Normln"/>
    <w:rsid w:val="00E02A14"/>
    <w:pPr>
      <w:spacing w:after="0" w:line="240" w:lineRule="auto"/>
      <w:ind w:left="1026" w:hanging="1026"/>
      <w:jc w:val="both"/>
    </w:pPr>
    <w:rPr>
      <w:rFonts w:ascii="Calibri" w:eastAsia="Times New Roman" w:hAnsi="Calibri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423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2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12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72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1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2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788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B45E6-8834-4825-9EC5-D6E486EF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2276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Nenutilová</dc:creator>
  <cp:keywords/>
  <dc:description/>
  <cp:lastModifiedBy>Kamila Nenutilová</cp:lastModifiedBy>
  <cp:revision>8</cp:revision>
  <dcterms:created xsi:type="dcterms:W3CDTF">2020-09-08T10:35:00Z</dcterms:created>
  <dcterms:modified xsi:type="dcterms:W3CDTF">2020-10-12T05:55:00Z</dcterms:modified>
</cp:coreProperties>
</file>