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D0" w:rsidRDefault="006639D0">
      <w:bookmarkStart w:id="0" w:name="_GoBack"/>
      <w:bookmarkEnd w:id="0"/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6042"/>
      </w:tblGrid>
      <w:tr w:rsidR="00B521BF" w:rsidRPr="00CD4782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5826"/>
            </w:tblGrid>
            <w:tr w:rsidR="00B521BF" w:rsidRPr="007E1E0D" w:rsidTr="00B521BF">
              <w:trPr>
                <w:trHeight w:val="46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1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5ZGXQ8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="000C2B94">
                    <w:rPr>
                      <w:rFonts w:ascii="CKGinis" w:hAnsi="CKGinis"/>
                      <w:bCs/>
                      <w:sz w:val="72"/>
                    </w:rPr>
                    <w:t>MVCRX05ZGXQ8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1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B521BF" w:rsidRPr="007E1E0D" w:rsidTr="00B521BF">
              <w:trPr>
                <w:trHeight w:val="11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5ZGXQ8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="000C2B94">
                    <w:rPr>
                      <w:rFonts w:ascii="Arial" w:hAnsi="Arial"/>
                      <w:bCs/>
                      <w:sz w:val="20"/>
                      <w:szCs w:val="20"/>
                    </w:rPr>
                    <w:t>MVCRX05ZGXQ8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B521BF" w:rsidRPr="007E1E0D" w:rsidTr="00B521BF">
              <w:trPr>
                <w:trHeight w:val="122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B521BF" w:rsidRDefault="00B521BF" w:rsidP="006639D0"/>
        </w:tc>
      </w:tr>
    </w:tbl>
    <w:bookmarkStart w:id="3" w:name="orj_ofic_nazev"/>
    <w:p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0C2B94">
        <w:rPr>
          <w:bCs/>
        </w:rPr>
        <w:t>odbor veřejné správy, dozoru a kontroly</w:t>
      </w:r>
      <w:r>
        <w:rPr>
          <w:bCs/>
        </w:rPr>
        <w:fldChar w:fldCharType="end"/>
      </w:r>
      <w:bookmarkEnd w:id="3"/>
    </w:p>
    <w:bookmarkStart w:id="4" w:name="isu_ob_adr4"/>
    <w:p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0C2B94">
        <w:rPr>
          <w:bCs/>
        </w:rPr>
        <w:t>náměstí Hrdinů 1634/3</w:t>
      </w:r>
      <w:r>
        <w:rPr>
          <w:bCs/>
        </w:rPr>
        <w:fldChar w:fldCharType="end"/>
      </w:r>
      <w:bookmarkEnd w:id="4"/>
    </w:p>
    <w:bookmarkStart w:id="5" w:name="isu_ob_adr5"/>
    <w:p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0C2B94">
        <w:rPr>
          <w:bCs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0C2B94">
        <w:rPr>
          <w:bCs/>
        </w:rPr>
        <w:t>Praha 4</w:t>
      </w:r>
      <w:r w:rsidR="0042290C">
        <w:rPr>
          <w:bCs/>
        </w:rPr>
        <w:fldChar w:fldCharType="end"/>
      </w:r>
      <w:bookmarkEnd w:id="5"/>
    </w:p>
    <w:p w:rsidR="00774381" w:rsidRDefault="00774381" w:rsidP="008321E0">
      <w:pPr>
        <w:pStyle w:val="Text"/>
      </w:pPr>
    </w:p>
    <w:p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6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71617-2/ODK-2021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0C2B94">
        <w:t>MV-171617-2/ODK-2021</w:t>
      </w:r>
      <w:r w:rsidR="0042290C">
        <w:fldChar w:fldCharType="end"/>
      </w:r>
      <w:bookmarkEnd w:id="6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>
        <w:trPr>
          <w:trHeight w:val="96"/>
        </w:trPr>
        <w:tc>
          <w:tcPr>
            <w:tcW w:w="3600" w:type="dxa"/>
          </w:tcPr>
          <w:bookmarkStart w:id="7" w:name="isu_ob_adr7"/>
          <w:bookmarkStart w:id="8" w:name="ssl_dat_pod"/>
          <w:p w:rsidR="00774381" w:rsidRPr="008321E0" w:rsidRDefault="00581EF1" w:rsidP="008321E0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C2B94">
              <w:rPr>
                <w:bCs/>
              </w:rPr>
              <w:t>Praha</w:t>
            </w:r>
            <w:r>
              <w:rPr>
                <w:bCs/>
              </w:rPr>
              <w:fldChar w:fldCharType="end"/>
            </w:r>
            <w:bookmarkEnd w:id="7"/>
            <w:r w:rsidR="0003781F">
              <w:t xml:space="preserve"> </w:t>
            </w:r>
            <w:bookmarkStart w:id="9" w:name="ssl_dat_podt"/>
            <w:bookmarkEnd w:id="8"/>
            <w:r w:rsidR="00036088">
              <w:fldChar w:fldCharType="begin">
                <w:ffData>
                  <w:name w:val="ssl_dat_podt"/>
                  <w:enabled/>
                  <w:calcOnExit w:val="0"/>
                  <w:textInput>
                    <w:type w:val="date"/>
                    <w:default w:val="25. října 2021"/>
                    <w:format w:val="d. MMMM yyyy"/>
                  </w:textInput>
                </w:ffData>
              </w:fldChar>
            </w:r>
            <w:r w:rsidR="00036088">
              <w:instrText xml:space="preserve"> FORMTEXT </w:instrText>
            </w:r>
            <w:r w:rsidR="00036088">
              <w:fldChar w:fldCharType="separate"/>
            </w:r>
            <w:r w:rsidR="000C2B94">
              <w:t>25. října 2021</w:t>
            </w:r>
            <w:r w:rsidR="00036088">
              <w:fldChar w:fldCharType="end"/>
            </w:r>
            <w:bookmarkEnd w:id="9"/>
          </w:p>
        </w:tc>
      </w:tr>
      <w:tr w:rsidR="00774381" w:rsidRPr="008321E0">
        <w:tc>
          <w:tcPr>
            <w:tcW w:w="3600" w:type="dxa"/>
          </w:tcPr>
          <w:p w:rsidR="00774381" w:rsidRPr="008321E0" w:rsidRDefault="00774381" w:rsidP="008321E0">
            <w:pPr>
              <w:pStyle w:val="Text"/>
            </w:pPr>
          </w:p>
        </w:tc>
      </w:tr>
      <w:tr w:rsidR="00774381" w:rsidRPr="008321E0">
        <w:tc>
          <w:tcPr>
            <w:tcW w:w="3600" w:type="dxa"/>
          </w:tcPr>
          <w:p w:rsidR="00774381" w:rsidRPr="008321E0" w:rsidRDefault="00774381" w:rsidP="008321E0">
            <w:pPr>
              <w:pStyle w:val="Text"/>
              <w:rPr>
                <w:highlight w:val="red"/>
              </w:rPr>
            </w:pPr>
          </w:p>
        </w:tc>
      </w:tr>
    </w:tbl>
    <w:p w:rsidR="000D1B16" w:rsidRPr="000D1B16" w:rsidRDefault="000D1B16" w:rsidP="000D1B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D1B16">
        <w:rPr>
          <w:rFonts w:ascii="Arial" w:hAnsi="Arial" w:cs="Arial"/>
          <w:b/>
        </w:rPr>
        <w:t>Městský úřad Příbor</w:t>
      </w:r>
    </w:p>
    <w:p w:rsidR="000D1B16" w:rsidRPr="000D1B16" w:rsidRDefault="000D1B16" w:rsidP="000D1B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nám.</w:t>
      </w:r>
      <w:r w:rsidRPr="000D1B16">
        <w:rPr>
          <w:rFonts w:ascii="Arial" w:hAnsi="Arial" w:cs="Arial"/>
        </w:rPr>
        <w:t xml:space="preserve"> Sigmunda Freuda 19</w:t>
      </w:r>
    </w:p>
    <w:p w:rsidR="000D1B16" w:rsidRPr="000D1B16" w:rsidRDefault="000D1B16" w:rsidP="000D1B16">
      <w:pPr>
        <w:autoSpaceDE w:val="0"/>
        <w:autoSpaceDN w:val="0"/>
        <w:adjustRightInd w:val="0"/>
        <w:rPr>
          <w:rFonts w:ascii="Arial" w:hAnsi="Arial" w:cs="Arial"/>
        </w:rPr>
      </w:pPr>
      <w:r w:rsidRPr="000D1B16">
        <w:rPr>
          <w:rFonts w:ascii="Arial" w:hAnsi="Arial" w:cs="Arial"/>
        </w:rPr>
        <w:t>742 58 Příbor</w:t>
      </w:r>
    </w:p>
    <w:p w:rsidR="000D1B16" w:rsidRPr="000D1B16" w:rsidRDefault="000D1B16" w:rsidP="000D1B16">
      <w:pPr>
        <w:pStyle w:val="Text"/>
        <w:jc w:val="both"/>
      </w:pPr>
    </w:p>
    <w:p w:rsidR="000D1B16" w:rsidRPr="000D1B16" w:rsidRDefault="000D1B16" w:rsidP="000D1B16">
      <w:pPr>
        <w:autoSpaceDE w:val="0"/>
        <w:autoSpaceDN w:val="0"/>
        <w:adjustRightInd w:val="0"/>
        <w:rPr>
          <w:rFonts w:ascii="Arial" w:hAnsi="Arial" w:cs="Arial"/>
        </w:rPr>
      </w:pPr>
      <w:r w:rsidRPr="000D1B16">
        <w:rPr>
          <w:rFonts w:ascii="Arial" w:hAnsi="Arial" w:cs="Arial"/>
        </w:rPr>
        <w:t>Vážený pan</w:t>
      </w:r>
    </w:p>
    <w:p w:rsidR="000D1B16" w:rsidRPr="000D1B16" w:rsidRDefault="000D1B16" w:rsidP="000D1B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D1B16">
        <w:rPr>
          <w:rFonts w:ascii="Arial" w:hAnsi="Arial" w:cs="Arial"/>
          <w:b/>
        </w:rPr>
        <w:t>JUDr. Rostislav Michálek</w:t>
      </w:r>
    </w:p>
    <w:p w:rsidR="000D1B16" w:rsidRPr="000D1B16" w:rsidRDefault="000D1B16" w:rsidP="000D1B16">
      <w:pPr>
        <w:autoSpaceDE w:val="0"/>
        <w:autoSpaceDN w:val="0"/>
        <w:adjustRightInd w:val="0"/>
        <w:rPr>
          <w:rFonts w:ascii="Arial" w:hAnsi="Arial" w:cs="Arial"/>
        </w:rPr>
      </w:pPr>
      <w:r w:rsidRPr="000D1B16">
        <w:rPr>
          <w:rFonts w:ascii="Arial" w:hAnsi="Arial" w:cs="Arial"/>
        </w:rPr>
        <w:t>tajemník městského úřadu a právník města</w:t>
      </w:r>
    </w:p>
    <w:p w:rsidR="008F69D4" w:rsidRPr="00992EB1" w:rsidRDefault="008F69D4" w:rsidP="0042290C">
      <w:pPr>
        <w:pStyle w:val="Text"/>
        <w:rPr>
          <w:bCs/>
        </w:rPr>
      </w:pPr>
    </w:p>
    <w:p w:rsidR="000D1B16" w:rsidRPr="000D1B16" w:rsidRDefault="000D1B16" w:rsidP="000D1B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Pr="008C3663">
        <w:rPr>
          <w:rFonts w:ascii="Arial" w:hAnsi="Arial" w:cs="Arial"/>
          <w:i/>
        </w:rPr>
        <w:t xml:space="preserve">lektronicky prostřednictvím emailu: </w:t>
      </w:r>
      <w:r w:rsidRPr="000D1B16">
        <w:rPr>
          <w:rFonts w:ascii="Arial" w:hAnsi="Arial" w:cs="Arial"/>
          <w:i/>
        </w:rPr>
        <w:t>tajemnik@pribor-mesto.cz</w:t>
      </w:r>
    </w:p>
    <w:p w:rsidR="00774381" w:rsidRPr="008321E0" w:rsidRDefault="00774381" w:rsidP="008321E0">
      <w:pPr>
        <w:pStyle w:val="Text"/>
      </w:pPr>
    </w:p>
    <w:bookmarkStart w:id="10" w:name="ssl_vec_podrobne"/>
    <w:p w:rsidR="00CD4782" w:rsidRPr="008321E0" w:rsidRDefault="0042290C" w:rsidP="008321E0">
      <w:pPr>
        <w:pStyle w:val="Text"/>
        <w:rPr>
          <w:u w:val="single"/>
        </w:rPr>
      </w:pPr>
      <w:r>
        <w:rPr>
          <w:u w:val="single"/>
        </w:rPr>
        <w:fldChar w:fldCharType="begin">
          <w:ffData>
            <w:name w:val="ssl_vec_podrobne"/>
            <w:enabled w:val="0"/>
            <w:calcOnExit w:val="0"/>
            <w:textInput>
              <w:default w:val="Stanovisko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C2B94">
        <w:rPr>
          <w:u w:val="single"/>
        </w:rPr>
        <w:t>Stanovisko</w:t>
      </w:r>
      <w:r>
        <w:rPr>
          <w:u w:val="single"/>
        </w:rPr>
        <w:fldChar w:fldCharType="end"/>
      </w:r>
      <w:bookmarkEnd w:id="10"/>
      <w:r w:rsidR="00D60068">
        <w:rPr>
          <w:u w:val="single"/>
        </w:rPr>
        <w:t xml:space="preserve"> – schvalování zahraničních </w:t>
      </w:r>
      <w:r w:rsidR="00F954CD">
        <w:rPr>
          <w:u w:val="single"/>
        </w:rPr>
        <w:t xml:space="preserve">služebních </w:t>
      </w:r>
      <w:r w:rsidR="00D60068">
        <w:rPr>
          <w:u w:val="single"/>
        </w:rPr>
        <w:t>cest členům zastupitelstva</w:t>
      </w:r>
    </w:p>
    <w:p w:rsidR="000D1B16" w:rsidRDefault="000D1B16" w:rsidP="000D1B16">
      <w:pPr>
        <w:jc w:val="both"/>
        <w:rPr>
          <w:rFonts w:ascii="Arial" w:hAnsi="Arial" w:cs="Arial"/>
        </w:rPr>
      </w:pPr>
    </w:p>
    <w:p w:rsidR="000D1B16" w:rsidRDefault="000D1B16" w:rsidP="000D1B16">
      <w:pPr>
        <w:pStyle w:val="Text"/>
        <w:ind w:firstLine="708"/>
        <w:jc w:val="both"/>
      </w:pPr>
      <w:r>
        <w:t>Dne 22. října 2021 obdržel odbor veřejné správy, dozoru a kontroly Ministerstva vnitra ČR Vaší žádost o stanovisko k problematice schvalování zahraničních cest členům zastupitelstva. Konkrétně uvádíte:</w:t>
      </w:r>
    </w:p>
    <w:p w:rsidR="000D1B16" w:rsidRDefault="000D1B16" w:rsidP="000D1B16">
      <w:pPr>
        <w:pStyle w:val="Text"/>
        <w:ind w:firstLine="708"/>
        <w:jc w:val="both"/>
      </w:pPr>
    </w:p>
    <w:p w:rsidR="000D1B16" w:rsidRDefault="000D1B16" w:rsidP="000D1B16">
      <w:pPr>
        <w:pStyle w:val="Text"/>
        <w:ind w:firstLine="708"/>
        <w:jc w:val="both"/>
        <w:rPr>
          <w:i/>
        </w:rPr>
      </w:pPr>
      <w:r w:rsidRPr="000D1B16">
        <w:t>Zastupitelstvo nepřijalo žádná pravid</w:t>
      </w:r>
      <w:r w:rsidR="005923C7">
        <w:t>la pro zahraniční cesty členů zastupitelstva města</w:t>
      </w:r>
      <w:r w:rsidRPr="000D1B16">
        <w:t>. K</w:t>
      </w:r>
      <w:r w:rsidR="00D60068">
        <w:t> </w:t>
      </w:r>
      <w:r w:rsidRPr="000D1B16">
        <w:t xml:space="preserve">cestovním náhradám platí v současnosti níže uvedené usnesení: </w:t>
      </w:r>
      <w:r w:rsidRPr="000D1B16">
        <w:rPr>
          <w:i/>
        </w:rPr>
        <w:t>I. Zastupitelstvo města stanovuje, že cestovní náhrady se budou v současném volebním období členům zastupitelstva poskytovat ve výši a za podmínek stanovených právními předpisy platnými pro zaměstnance Městského úřadu v Příboře v pracovním poměru v souladu s § 81 odst. 1 zákon č. 128/2000 Sb. o obcích (obecní zřízení), ve znění pozdějších předpisů.</w:t>
      </w:r>
    </w:p>
    <w:p w:rsidR="000D1B16" w:rsidRDefault="000D1B16" w:rsidP="000D1B16">
      <w:pPr>
        <w:pStyle w:val="Text"/>
        <w:ind w:firstLine="708"/>
        <w:jc w:val="both"/>
        <w:rPr>
          <w:i/>
        </w:rPr>
      </w:pPr>
    </w:p>
    <w:p w:rsidR="00D60068" w:rsidRDefault="000D1B16" w:rsidP="005923C7">
      <w:pPr>
        <w:pStyle w:val="Text"/>
        <w:ind w:firstLine="708"/>
        <w:jc w:val="both"/>
      </w:pPr>
      <w:r w:rsidRPr="000D1B16">
        <w:t xml:space="preserve">Hodlá-li </w:t>
      </w:r>
      <w:r w:rsidR="005923C7">
        <w:t>starosta vy</w:t>
      </w:r>
      <w:r w:rsidRPr="000D1B16">
        <w:t>jet</w:t>
      </w:r>
      <w:r w:rsidR="00EA4DD4">
        <w:t xml:space="preserve"> </w:t>
      </w:r>
      <w:r w:rsidRPr="000D1B16">
        <w:t>na zahraniční cestu</w:t>
      </w:r>
      <w:r w:rsidR="00EA4DD4">
        <w:t xml:space="preserve"> </w:t>
      </w:r>
      <w:r w:rsidRPr="000D1B16">
        <w:t>(např. na základě pozvánky pro město)</w:t>
      </w:r>
      <w:r w:rsidR="005923C7">
        <w:t>, je rada města povinna usnesením schválit výjezd starosty</w:t>
      </w:r>
      <w:r w:rsidR="00D60068">
        <w:t xml:space="preserve"> </w:t>
      </w:r>
      <w:r w:rsidRPr="000D1B16">
        <w:t>na zahraniční služební cestu</w:t>
      </w:r>
      <w:r w:rsidR="005923C7">
        <w:t>?</w:t>
      </w:r>
      <w:r w:rsidRPr="000D1B16">
        <w:t xml:space="preserve"> Má </w:t>
      </w:r>
      <w:r w:rsidR="008370B6">
        <w:t xml:space="preserve">starosta </w:t>
      </w:r>
      <w:r w:rsidRPr="000D1B16">
        <w:t>v takovém případě nárok na</w:t>
      </w:r>
      <w:r w:rsidR="00D60068">
        <w:t xml:space="preserve"> cestovní náhrady</w:t>
      </w:r>
      <w:r w:rsidRPr="000D1B16">
        <w:t xml:space="preserve">? </w:t>
      </w:r>
    </w:p>
    <w:p w:rsidR="000D1B16" w:rsidRDefault="000D1B16" w:rsidP="000D1B16">
      <w:pPr>
        <w:pStyle w:val="Text"/>
        <w:jc w:val="both"/>
      </w:pPr>
    </w:p>
    <w:p w:rsidR="005923C7" w:rsidRDefault="005923C7" w:rsidP="000D1B16">
      <w:pPr>
        <w:pStyle w:val="Text"/>
        <w:jc w:val="both"/>
      </w:pPr>
    </w:p>
    <w:p w:rsidR="00A81175" w:rsidRPr="00233066" w:rsidRDefault="000D1B16" w:rsidP="00A81175">
      <w:pPr>
        <w:pStyle w:val="Text"/>
        <w:ind w:firstLine="708"/>
        <w:jc w:val="both"/>
      </w:pPr>
      <w:r w:rsidRPr="00233066">
        <w:t>K výše uvedenému zastává náš odbor následující, právně nezávazný názor.</w:t>
      </w:r>
      <w:r w:rsidR="00A81175" w:rsidRPr="00233066">
        <w:t xml:space="preserve"> Předně si dovolujeme upozornit, že Ministerstvo vnitra jako věcný gestor </w:t>
      </w:r>
      <w:r w:rsidR="00A81175" w:rsidRPr="00233066">
        <w:rPr>
          <w:b/>
        </w:rPr>
        <w:t>zákona č. 128/2000 Sb.,</w:t>
      </w:r>
      <w:r w:rsidR="00A81175" w:rsidRPr="00233066">
        <w:t xml:space="preserve"> o obcích (obecní zřízení), ve znění pozdějších předpisů (dále jen „zákon o obcích“) na základě Organizačního řádu Ministerstva vnitra, konkrétně čl. 34 odst. 1 písm. o), zajišťuje „</w:t>
      </w:r>
      <w:r w:rsidR="00A81175" w:rsidRPr="00233066">
        <w:rPr>
          <w:i/>
        </w:rPr>
        <w:t xml:space="preserve">poskytování metodické pomoci, zejména zpracovávání výkladových stanovisek, právních výkladů a odpovědí na dotazy k aplikaci </w:t>
      </w:r>
      <w:r w:rsidR="00A81175" w:rsidRPr="00233066">
        <w:rPr>
          <w:i/>
          <w:u w:val="single"/>
        </w:rPr>
        <w:t>zákona o obcích</w:t>
      </w:r>
      <w:r w:rsidR="00A81175" w:rsidRPr="00233066">
        <w:rPr>
          <w:i/>
        </w:rPr>
        <w:t>, zákona o krajích, zákona o hlavním městě Praze, k zákonu o svobodném přístupu k informacím, zákona o kontrole a z dalších oblastí, které náležejí do jeho působnosti, zejména vůči územním samosprávným celkům</w:t>
      </w:r>
      <w:r w:rsidR="00A81175" w:rsidRPr="00233066">
        <w:t xml:space="preserve">“. Z tohoto důvodu se omezíme pouze na </w:t>
      </w:r>
      <w:r w:rsidR="00A81175" w:rsidRPr="00233066">
        <w:rPr>
          <w:b/>
          <w:u w:val="single"/>
        </w:rPr>
        <w:t xml:space="preserve">obecný právní výklad týkající se aplikace příslušných ustanovení zákona o obcích, bez hodnocení konkrétních skutečností. </w:t>
      </w:r>
    </w:p>
    <w:p w:rsidR="000D1B16" w:rsidRPr="00233066" w:rsidRDefault="000D1B16" w:rsidP="00E36CFA">
      <w:pPr>
        <w:pStyle w:val="Text"/>
        <w:jc w:val="both"/>
      </w:pPr>
    </w:p>
    <w:p w:rsidR="00E36CFA" w:rsidRPr="00233066" w:rsidRDefault="00E36CFA" w:rsidP="000D1B16">
      <w:pPr>
        <w:pStyle w:val="Text"/>
        <w:ind w:firstLine="708"/>
        <w:jc w:val="both"/>
        <w:rPr>
          <w:i/>
        </w:rPr>
      </w:pPr>
      <w:r w:rsidRPr="00233066">
        <w:t xml:space="preserve">Podle § 81 odst. 1 zákona o obcích platí: </w:t>
      </w:r>
      <w:r w:rsidRPr="00233066">
        <w:rPr>
          <w:i/>
        </w:rPr>
        <w:t xml:space="preserve">Členovi zastupitelstva obce náleží v souvislosti s výkonem jeho funkce </w:t>
      </w:r>
      <w:r w:rsidRPr="00233066">
        <w:rPr>
          <w:rStyle w:val="highlight"/>
          <w:i/>
          <w:u w:val="single"/>
        </w:rPr>
        <w:t xml:space="preserve">cestovní </w:t>
      </w:r>
      <w:r w:rsidRPr="00233066">
        <w:rPr>
          <w:i/>
          <w:u w:val="single"/>
        </w:rPr>
        <w:t>náhrady ve výši a za podmínek stanovených právními předpisy platnými pro zaměstnance obce</w:t>
      </w:r>
      <w:r w:rsidRPr="00233066">
        <w:rPr>
          <w:i/>
        </w:rPr>
        <w:t xml:space="preserve"> a v jejich mezích podle pravidel pro poskytování cestovních náhrad členům zastupitelstva obce, stanovených zastupitelstvem obce.</w:t>
      </w:r>
    </w:p>
    <w:p w:rsidR="00233066" w:rsidRPr="00233066" w:rsidRDefault="00233066" w:rsidP="000D1B16">
      <w:pPr>
        <w:pStyle w:val="Text"/>
        <w:ind w:firstLine="708"/>
        <w:jc w:val="both"/>
        <w:rPr>
          <w:i/>
        </w:rPr>
      </w:pPr>
    </w:p>
    <w:p w:rsidR="00233066" w:rsidRPr="005D5925" w:rsidRDefault="00233066" w:rsidP="00233066">
      <w:pPr>
        <w:pStyle w:val="Text"/>
        <w:jc w:val="both"/>
        <w:rPr>
          <w:i/>
        </w:rPr>
      </w:pPr>
      <w:r w:rsidRPr="00233066">
        <w:rPr>
          <w:i/>
        </w:rPr>
        <w:tab/>
      </w:r>
      <w:r w:rsidRPr="00233066">
        <w:t>Podle § 81 odst. 3 zákona o obcích platí, že</w:t>
      </w:r>
      <w:r w:rsidR="00E10E57">
        <w:t>:</w:t>
      </w:r>
      <w:r w:rsidR="005D5925">
        <w:t xml:space="preserve"> </w:t>
      </w:r>
      <w:r w:rsidR="005D5925" w:rsidRPr="005D5925">
        <w:rPr>
          <w:i/>
        </w:rPr>
        <w:t xml:space="preserve">Nestanoví-li v pravidlech pro poskytování cestovních náhrad členům zastupitelstva obce zastupitelstvo obce jinak, podmínky, které mohou ovlivnit poskytování a výši cestovních náhrad, zejména dobu a místo nástupu a ukončení cesty, místo plnění úkolů, způsob dopravy a ubytování, určuje členům zastupitelstva obce před zahájením pracovní cesty </w:t>
      </w:r>
      <w:r w:rsidR="005D5925" w:rsidRPr="00446356">
        <w:rPr>
          <w:i/>
          <w:u w:val="single"/>
        </w:rPr>
        <w:t>písemně starosta</w:t>
      </w:r>
      <w:r w:rsidR="005D5925" w:rsidRPr="005D5925">
        <w:rPr>
          <w:i/>
        </w:rPr>
        <w:t>.</w:t>
      </w:r>
      <w:r w:rsidRPr="005D5925">
        <w:rPr>
          <w:i/>
        </w:rPr>
        <w:t xml:space="preserve"> </w:t>
      </w:r>
    </w:p>
    <w:p w:rsidR="00E36CFA" w:rsidRPr="00233066" w:rsidRDefault="00E36CFA" w:rsidP="000D1B16">
      <w:pPr>
        <w:pStyle w:val="Text"/>
        <w:ind w:firstLine="708"/>
        <w:jc w:val="both"/>
        <w:rPr>
          <w:i/>
        </w:rPr>
      </w:pPr>
    </w:p>
    <w:p w:rsidR="00D33587" w:rsidRDefault="00233066" w:rsidP="000D1B16">
      <w:pPr>
        <w:pStyle w:val="Text"/>
        <w:ind w:firstLine="708"/>
        <w:jc w:val="both"/>
      </w:pPr>
      <w:r w:rsidRPr="00233066">
        <w:t>P</w:t>
      </w:r>
      <w:r w:rsidR="00163FE4">
        <w:t>odle citovaných</w:t>
      </w:r>
      <w:r w:rsidRPr="00233066">
        <w:t xml:space="preserve"> ustanovení platí, že č</w:t>
      </w:r>
      <w:r w:rsidR="00E36CFA" w:rsidRPr="00233066">
        <w:t xml:space="preserve">lenovi zastupitelstva obce náleží </w:t>
      </w:r>
      <w:r w:rsidR="00E36CFA" w:rsidRPr="00163FE4">
        <w:rPr>
          <w:rStyle w:val="highlight"/>
          <w:u w:val="single"/>
        </w:rPr>
        <w:t xml:space="preserve">cestovní </w:t>
      </w:r>
      <w:r w:rsidR="00E36CFA" w:rsidRPr="00163FE4">
        <w:rPr>
          <w:u w:val="single"/>
        </w:rPr>
        <w:t>náhrady ve výši a za podmínek stanovených právními předpisy pro zaměstnance v pracovním poměru k obci</w:t>
      </w:r>
      <w:r w:rsidR="00E36CFA" w:rsidRPr="00233066">
        <w:t xml:space="preserve"> a v jejich mezích </w:t>
      </w:r>
      <w:r w:rsidR="00E36CFA" w:rsidRPr="00163FE4">
        <w:rPr>
          <w:u w:val="single"/>
        </w:rPr>
        <w:t>podle pravidel, která si dle místních podmínek stanovilo zastupitelstvo příslušné obce</w:t>
      </w:r>
      <w:r w:rsidR="00E36CFA" w:rsidRPr="00233066">
        <w:t xml:space="preserve">. Současně zastupitelstvo obce může stanovit, že se místo trvalého pobytu člena zastupitelstva obce pro účely cestovních náhrad bude považovat za pravidelné pracoviště. </w:t>
      </w:r>
    </w:p>
    <w:p w:rsidR="00D10B57" w:rsidRPr="00740ACA" w:rsidRDefault="00D10B57" w:rsidP="00126BB9">
      <w:pPr>
        <w:pStyle w:val="Text"/>
        <w:jc w:val="both"/>
      </w:pPr>
    </w:p>
    <w:p w:rsidR="00740ACA" w:rsidRPr="00923DA4" w:rsidRDefault="00740ACA" w:rsidP="000D1B16">
      <w:pPr>
        <w:pStyle w:val="Text"/>
        <w:ind w:firstLine="708"/>
        <w:jc w:val="both"/>
        <w:rPr>
          <w:vertAlign w:val="superscript"/>
        </w:rPr>
      </w:pPr>
      <w:r w:rsidRPr="00740ACA">
        <w:t>Pravomoc stanovit pravidla pro poskytování cestovních náhrad členům zastupitelstva obce je podle § 84 odst. 4 písm. u) vyhrazenou</w:t>
      </w:r>
      <w:r w:rsidR="00126BB9" w:rsidRPr="00126BB9">
        <w:rPr>
          <w:color w:val="0000FF"/>
        </w:rPr>
        <w:t xml:space="preserve"> </w:t>
      </w:r>
      <w:r w:rsidRPr="00740ACA">
        <w:t xml:space="preserve">pravomocí zastupitelstva obce. Přijetí pravidel je právem zastupitelstva obce, nikoliv jeho povinností. Podle § 81 odst. 3 platí, </w:t>
      </w:r>
      <w:r w:rsidRPr="00740ACA">
        <w:lastRenderedPageBreak/>
        <w:t xml:space="preserve">že pokud zastupitelstvo obce v pravidlech pro poskytování cestovních náhrad členům zastupitelstva obce nestanoví jinak (nebo rovněž logicky pokud žádná pravidla v tomto smyslu zastupitelstvo obce nepřijme), podmínky, které mohou ovlivnit poskytování a výši cestovních náhrad, zejména dobu a místo nástupu a ukončení cesty, místo plnění úkolů, způsob dopravy a ubytování, určuje členům zastupitelstva obce před zahájením pracovní cesty (nikoliv tedy až po absolvování pracovní cesty) písemnou formou starosta. S ohledem na zvolený text zákona se jedná pouze o demonstrativní (neuzavřený) výčet podmínek, není tudíž vyloučeno, aby zastupitelstvo obce bylo ve stanovování </w:t>
      </w:r>
      <w:r>
        <w:t xml:space="preserve">pravidel v mezích právní úpravy </w:t>
      </w:r>
      <w:r w:rsidRPr="00740ACA">
        <w:rPr>
          <w:color w:val="000000" w:themeColor="text1"/>
        </w:rPr>
        <w:t>zákoníku práce ještě podrobnější a stanovilo i další v § 81 odst. 3 neuvedené podmínky</w:t>
      </w:r>
      <w:r w:rsidRPr="00740ACA">
        <w:t xml:space="preserve"> (stejné východisko platí v duchu uvedeného případně i pro starostu).</w:t>
      </w:r>
      <w:r>
        <w:rPr>
          <w:rStyle w:val="Znakapoznpodarou"/>
        </w:rPr>
        <w:footnoteReference w:id="1"/>
      </w:r>
      <w:r w:rsidR="00923DA4">
        <w:rPr>
          <w:vertAlign w:val="superscript"/>
        </w:rPr>
        <w:t>)</w:t>
      </w:r>
    </w:p>
    <w:p w:rsidR="00740ACA" w:rsidRDefault="00740ACA" w:rsidP="000D1B16">
      <w:pPr>
        <w:pStyle w:val="Text"/>
        <w:ind w:firstLine="708"/>
        <w:jc w:val="both"/>
      </w:pPr>
    </w:p>
    <w:p w:rsidR="00740ACA" w:rsidRPr="005923C7" w:rsidRDefault="00126BB9" w:rsidP="000D1B16">
      <w:pPr>
        <w:pStyle w:val="Text"/>
        <w:ind w:firstLine="708"/>
        <w:jc w:val="both"/>
        <w:rPr>
          <w:b/>
        </w:rPr>
      </w:pPr>
      <w:r w:rsidRPr="005923C7">
        <w:rPr>
          <w:b/>
        </w:rPr>
        <w:t xml:space="preserve">S ohledem na shora uvedené dovozujeme, že zahraniční </w:t>
      </w:r>
      <w:r w:rsidR="008370B6">
        <w:rPr>
          <w:b/>
        </w:rPr>
        <w:t>služební cesta</w:t>
      </w:r>
      <w:r w:rsidRPr="005923C7">
        <w:rPr>
          <w:b/>
        </w:rPr>
        <w:t xml:space="preserve"> </w:t>
      </w:r>
      <w:r w:rsidR="008370B6">
        <w:rPr>
          <w:b/>
        </w:rPr>
        <w:t xml:space="preserve">starosty </w:t>
      </w:r>
      <w:r w:rsidRPr="005923C7">
        <w:rPr>
          <w:b/>
        </w:rPr>
        <w:t xml:space="preserve">nevyžaduje </w:t>
      </w:r>
      <w:r w:rsidRPr="005923C7">
        <w:rPr>
          <w:b/>
          <w:i/>
        </w:rPr>
        <w:t>a priori</w:t>
      </w:r>
      <w:r w:rsidRPr="005923C7">
        <w:rPr>
          <w:b/>
        </w:rPr>
        <w:t xml:space="preserve">  </w:t>
      </w:r>
      <w:r w:rsidR="005923C7" w:rsidRPr="005923C7">
        <w:rPr>
          <w:b/>
        </w:rPr>
        <w:t>projednání a schválení této záležitosti radou obce v rámci tzv. nevyhrazené (</w:t>
      </w:r>
      <w:r w:rsidR="008370B6">
        <w:rPr>
          <w:b/>
        </w:rPr>
        <w:t>zbytkové pravomoci) podle § 102 odst. 3 zákona o obcích.</w:t>
      </w:r>
      <w:r w:rsidR="005923C7" w:rsidRPr="005923C7">
        <w:rPr>
          <w:b/>
        </w:rPr>
        <w:t xml:space="preserve"> </w:t>
      </w:r>
    </w:p>
    <w:p w:rsidR="00740ACA" w:rsidRPr="005923C7" w:rsidRDefault="00740ACA" w:rsidP="000D1B16">
      <w:pPr>
        <w:pStyle w:val="Text"/>
        <w:ind w:firstLine="708"/>
        <w:jc w:val="both"/>
        <w:rPr>
          <w:b/>
        </w:rPr>
      </w:pPr>
    </w:p>
    <w:p w:rsidR="00F618D2" w:rsidRDefault="00F618D2" w:rsidP="000D1B16">
      <w:pPr>
        <w:pStyle w:val="Text"/>
        <w:ind w:firstLine="708"/>
        <w:jc w:val="both"/>
        <w:rPr>
          <w:b/>
        </w:rPr>
      </w:pPr>
      <w:r>
        <w:rPr>
          <w:b/>
        </w:rPr>
        <w:t xml:space="preserve">Ustanovení </w:t>
      </w:r>
      <w:r w:rsidR="005923C7" w:rsidRPr="005923C7">
        <w:rPr>
          <w:b/>
        </w:rPr>
        <w:t xml:space="preserve">§ 81 odst. </w:t>
      </w:r>
      <w:r w:rsidR="008370B6">
        <w:rPr>
          <w:b/>
        </w:rPr>
        <w:t xml:space="preserve">1 a </w:t>
      </w:r>
      <w:r w:rsidR="00163FE4">
        <w:rPr>
          <w:b/>
        </w:rPr>
        <w:t xml:space="preserve">3 zákona  o obcích lze </w:t>
      </w:r>
      <w:r>
        <w:rPr>
          <w:b/>
        </w:rPr>
        <w:t xml:space="preserve">ve </w:t>
      </w:r>
      <w:r w:rsidR="005923C7" w:rsidRPr="005923C7">
        <w:rPr>
          <w:b/>
        </w:rPr>
        <w:t>vztahu k § 102 odst. 3</w:t>
      </w:r>
      <w:r w:rsidR="00163FE4">
        <w:rPr>
          <w:b/>
        </w:rPr>
        <w:t xml:space="preserve"> zákona o obcích</w:t>
      </w:r>
      <w:r w:rsidR="005923C7" w:rsidRPr="005923C7">
        <w:rPr>
          <w:b/>
        </w:rPr>
        <w:t xml:space="preserve"> </w:t>
      </w:r>
      <w:r>
        <w:rPr>
          <w:b/>
        </w:rPr>
        <w:t xml:space="preserve">považovat za ustanovení speciální. </w:t>
      </w:r>
    </w:p>
    <w:p w:rsidR="00F618D2" w:rsidRDefault="00F618D2" w:rsidP="000D1B16">
      <w:pPr>
        <w:pStyle w:val="Text"/>
        <w:ind w:firstLine="708"/>
        <w:jc w:val="both"/>
        <w:rPr>
          <w:b/>
        </w:rPr>
      </w:pPr>
    </w:p>
    <w:p w:rsidR="008370B6" w:rsidRDefault="00F618D2" w:rsidP="000D1B16">
      <w:pPr>
        <w:pStyle w:val="Text"/>
        <w:ind w:firstLine="708"/>
        <w:jc w:val="both"/>
        <w:rPr>
          <w:b/>
        </w:rPr>
      </w:pPr>
      <w:r>
        <w:rPr>
          <w:b/>
        </w:rPr>
        <w:t>S</w:t>
      </w:r>
      <w:r w:rsidR="008370B6">
        <w:rPr>
          <w:b/>
        </w:rPr>
        <w:t xml:space="preserve">tarostovi </w:t>
      </w:r>
      <w:r w:rsidR="008370B6" w:rsidRPr="008370B6">
        <w:rPr>
          <w:b/>
        </w:rPr>
        <w:t>ná</w:t>
      </w:r>
      <w:r w:rsidR="008370B6">
        <w:rPr>
          <w:b/>
        </w:rPr>
        <w:t>leží cestovní náhrady ve výši a </w:t>
      </w:r>
      <w:r w:rsidR="008370B6" w:rsidRPr="008370B6">
        <w:rPr>
          <w:b/>
        </w:rPr>
        <w:t>za podmínek stanovených právními předpisy pro zaměstnance v pracovním poměru k obci a v jejich mezích podle pravidel, která si dle místních podmínek sta</w:t>
      </w:r>
      <w:r w:rsidR="008370B6">
        <w:rPr>
          <w:b/>
        </w:rPr>
        <w:t>novilo zastupitelstvo.</w:t>
      </w:r>
    </w:p>
    <w:p w:rsidR="008370B6" w:rsidRDefault="008370B6" w:rsidP="00F618D2">
      <w:pPr>
        <w:pStyle w:val="Text"/>
        <w:jc w:val="both"/>
        <w:rPr>
          <w:b/>
        </w:rPr>
      </w:pPr>
    </w:p>
    <w:p w:rsidR="006771E9" w:rsidRDefault="00F618D2" w:rsidP="006771E9">
      <w:pPr>
        <w:pStyle w:val="Text"/>
        <w:ind w:firstLine="708"/>
        <w:jc w:val="both"/>
        <w:rPr>
          <w:b/>
        </w:rPr>
      </w:pPr>
      <w:r>
        <w:rPr>
          <w:b/>
        </w:rPr>
        <w:t>S</w:t>
      </w:r>
      <w:r w:rsidR="005923C7" w:rsidRPr="005923C7">
        <w:rPr>
          <w:b/>
        </w:rPr>
        <w:t xml:space="preserve">ám starosta </w:t>
      </w:r>
      <w:r>
        <w:rPr>
          <w:b/>
        </w:rPr>
        <w:t xml:space="preserve">může </w:t>
      </w:r>
      <w:r w:rsidR="005923C7" w:rsidRPr="005923C7">
        <w:rPr>
          <w:b/>
        </w:rPr>
        <w:t>písemnou formou</w:t>
      </w:r>
      <w:r>
        <w:rPr>
          <w:b/>
        </w:rPr>
        <w:t xml:space="preserve"> určit</w:t>
      </w:r>
      <w:r w:rsidRPr="005923C7">
        <w:rPr>
          <w:b/>
        </w:rPr>
        <w:t xml:space="preserve"> bližší podmínky zahranič</w:t>
      </w:r>
      <w:r>
        <w:rPr>
          <w:b/>
        </w:rPr>
        <w:t>ní služební cesty</w:t>
      </w:r>
      <w:r w:rsidR="005923C7" w:rsidRPr="005923C7">
        <w:rPr>
          <w:b/>
        </w:rPr>
        <w:t xml:space="preserve">. Bližšími podmínkami může být </w:t>
      </w:r>
      <w:r w:rsidR="006771E9">
        <w:rPr>
          <w:b/>
        </w:rPr>
        <w:t xml:space="preserve">též </w:t>
      </w:r>
      <w:r w:rsidR="005923C7" w:rsidRPr="005923C7">
        <w:rPr>
          <w:b/>
        </w:rPr>
        <w:t>např. určení osob (radních), které se zahraniční cesty zúčastní, rozdělení úkolů</w:t>
      </w:r>
      <w:r w:rsidR="00163FE4">
        <w:rPr>
          <w:b/>
        </w:rPr>
        <w:t xml:space="preserve"> na služební cestě</w:t>
      </w:r>
      <w:r>
        <w:rPr>
          <w:b/>
        </w:rPr>
        <w:t xml:space="preserve"> apod</w:t>
      </w:r>
      <w:r w:rsidR="006771E9">
        <w:rPr>
          <w:b/>
        </w:rPr>
        <w:t xml:space="preserve">. </w:t>
      </w:r>
    </w:p>
    <w:p w:rsidR="006771E9" w:rsidRDefault="006771E9" w:rsidP="006771E9">
      <w:pPr>
        <w:pStyle w:val="Text"/>
        <w:ind w:firstLine="708"/>
        <w:jc w:val="both"/>
        <w:rPr>
          <w:b/>
        </w:rPr>
      </w:pPr>
    </w:p>
    <w:p w:rsidR="00F618D2" w:rsidRDefault="00163FE4" w:rsidP="006771E9">
      <w:pPr>
        <w:pStyle w:val="Text"/>
        <w:ind w:firstLine="708"/>
        <w:jc w:val="both"/>
        <w:rPr>
          <w:b/>
        </w:rPr>
      </w:pPr>
      <w:r>
        <w:rPr>
          <w:b/>
        </w:rPr>
        <w:t xml:space="preserve">Ze zákona nevyplývá </w:t>
      </w:r>
      <w:r w:rsidR="006771E9">
        <w:rPr>
          <w:b/>
        </w:rPr>
        <w:t>povi</w:t>
      </w:r>
      <w:r>
        <w:rPr>
          <w:b/>
        </w:rPr>
        <w:t>nnost</w:t>
      </w:r>
      <w:r w:rsidR="006771E9">
        <w:rPr>
          <w:b/>
        </w:rPr>
        <w:t>, aby rada</w:t>
      </w:r>
      <w:r w:rsidR="00F618D2">
        <w:rPr>
          <w:b/>
        </w:rPr>
        <w:t xml:space="preserve"> obce </w:t>
      </w:r>
      <w:r w:rsidR="006771E9">
        <w:rPr>
          <w:b/>
        </w:rPr>
        <w:t xml:space="preserve">schvalovala vyslání konkrétní osoby na zahraniční služební cestu  či bližší podmínky zahraniční služební cesty </w:t>
      </w:r>
      <w:r w:rsidR="00F618D2">
        <w:rPr>
          <w:b/>
        </w:rPr>
        <w:t>podle</w:t>
      </w:r>
      <w:r w:rsidR="006771E9">
        <w:rPr>
          <w:b/>
        </w:rPr>
        <w:t xml:space="preserve"> § 102 odst. 3 zákona o obcích.</w:t>
      </w:r>
    </w:p>
    <w:p w:rsidR="00F618D2" w:rsidRDefault="00F618D2" w:rsidP="000D1B16">
      <w:pPr>
        <w:pStyle w:val="Text"/>
        <w:ind w:firstLine="708"/>
        <w:jc w:val="both"/>
        <w:rPr>
          <w:b/>
        </w:rPr>
      </w:pPr>
    </w:p>
    <w:p w:rsidR="000D1B16" w:rsidRDefault="000D1B16" w:rsidP="000D1B16">
      <w:pPr>
        <w:pStyle w:val="Text"/>
        <w:ind w:firstLine="708"/>
        <w:jc w:val="both"/>
      </w:pPr>
      <w:r>
        <w:lastRenderedPageBreak/>
        <w:t>Dovolujeme si upozornit, že výše uvedené názory Ministerstva vnitra nejsou právně závazné, neboť právně závazný výklad právních předpisů ve vztahu ke konkrétní skutkové situaci může podávat jen příslušný soud.</w:t>
      </w:r>
    </w:p>
    <w:p w:rsidR="000D1B16" w:rsidRPr="008321E0" w:rsidRDefault="000D1B16" w:rsidP="000D1B16">
      <w:pPr>
        <w:pStyle w:val="Text"/>
      </w:pPr>
    </w:p>
    <w:p w:rsidR="000D1B16" w:rsidRDefault="000D1B16" w:rsidP="000D1B16">
      <w:pPr>
        <w:pStyle w:val="Text"/>
      </w:pPr>
    </w:p>
    <w:p w:rsidR="000D1B16" w:rsidRDefault="000D1B16" w:rsidP="000D1B16">
      <w:pPr>
        <w:pStyle w:val="Text"/>
      </w:pPr>
    </w:p>
    <w:p w:rsidR="000D1B16" w:rsidRPr="008321E0" w:rsidRDefault="000D1B16" w:rsidP="000D1B16">
      <w:pPr>
        <w:pStyle w:val="Text"/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0D1B16" w:rsidRPr="008321E0" w:rsidTr="00807B3C">
        <w:tc>
          <w:tcPr>
            <w:tcW w:w="4020" w:type="dxa"/>
          </w:tcPr>
          <w:p w:rsidR="000D1B16" w:rsidRPr="00F8330A" w:rsidRDefault="000D1B16" w:rsidP="00807B3C">
            <w:pPr>
              <w:pStyle w:val="Text"/>
              <w:jc w:val="center"/>
            </w:pPr>
            <w:r>
              <w:fldChar w:fldCharType="begin">
                <w:ffData>
                  <w:name w:val="ssl_spis_schref1"/>
                  <w:enabled w:val="0"/>
                  <w:calcOnExit w:val="0"/>
                  <w:textInput>
                    <w:default w:val="Ing. Bc. Miroslav Veselý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Bc. Miroslav Veselý</w:t>
            </w:r>
            <w:r>
              <w:fldChar w:fldCharType="end"/>
            </w:r>
          </w:p>
        </w:tc>
      </w:tr>
      <w:tr w:rsidR="000D1B16" w:rsidRPr="008321E0" w:rsidTr="00807B3C">
        <w:tc>
          <w:tcPr>
            <w:tcW w:w="4020" w:type="dxa"/>
          </w:tcPr>
          <w:p w:rsidR="000D1B16" w:rsidRPr="00F8330A" w:rsidRDefault="000D1B16" w:rsidP="00807B3C">
            <w:pPr>
              <w:pStyle w:val="Text"/>
              <w:jc w:val="center"/>
            </w:pPr>
            <w:r w:rsidRPr="00F8330A">
              <w:fldChar w:fldCharType="begin">
                <w:ffData>
                  <w:name w:val="ssl_spis_schfun"/>
                  <w:enabled w:val="0"/>
                  <w:calcOnExit w:val="0"/>
                  <w:textInput>
                    <w:default w:val="ředitel"/>
                  </w:textInput>
                </w:ffData>
              </w:fldChar>
            </w:r>
            <w:r w:rsidRPr="00F8330A">
              <w:instrText xml:space="preserve"> FORMTEXT </w:instrText>
            </w:r>
            <w:r w:rsidRPr="00F8330A">
              <w:fldChar w:fldCharType="separate"/>
            </w:r>
            <w:r w:rsidRPr="00F8330A">
              <w:rPr>
                <w:noProof/>
              </w:rPr>
              <w:t>ředitel</w:t>
            </w:r>
            <w:r w:rsidRPr="00F8330A">
              <w:fldChar w:fldCharType="end"/>
            </w:r>
            <w:r w:rsidRPr="00F8330A">
              <w:t xml:space="preserve"> odboru</w:t>
            </w:r>
          </w:p>
        </w:tc>
      </w:tr>
      <w:tr w:rsidR="000D1B16" w:rsidRPr="008321E0" w:rsidTr="00807B3C">
        <w:tc>
          <w:tcPr>
            <w:tcW w:w="4020" w:type="dxa"/>
          </w:tcPr>
          <w:p w:rsidR="000D1B16" w:rsidRPr="00F8330A" w:rsidRDefault="000D1B16" w:rsidP="00807B3C">
            <w:pPr>
              <w:pStyle w:val="Text"/>
              <w:jc w:val="center"/>
            </w:pPr>
          </w:p>
        </w:tc>
      </w:tr>
    </w:tbl>
    <w:p w:rsidR="000D1B16" w:rsidRPr="008321E0" w:rsidRDefault="000D1B16" w:rsidP="000D1B16">
      <w:pPr>
        <w:pStyle w:val="Text"/>
        <w:tabs>
          <w:tab w:val="left" w:pos="900"/>
        </w:tabs>
      </w:pPr>
    </w:p>
    <w:p w:rsidR="000D1B16" w:rsidRPr="008321E0" w:rsidRDefault="000D1B16" w:rsidP="000D1B16">
      <w:pPr>
        <w:pStyle w:val="Text"/>
        <w:tabs>
          <w:tab w:val="left" w:pos="900"/>
        </w:tabs>
        <w:rPr>
          <w:sz w:val="20"/>
          <w:szCs w:val="20"/>
        </w:rPr>
      </w:pPr>
      <w:r w:rsidRPr="008321E0">
        <w:rPr>
          <w:sz w:val="20"/>
          <w:szCs w:val="20"/>
        </w:rPr>
        <w:t>Vyřizuje:</w:t>
      </w:r>
      <w:r w:rsidRPr="008321E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ssl_vlastnik_ref1"/>
            <w:enabled w:val="0"/>
            <w:calcOnExit w:val="0"/>
            <w:textInput>
              <w:default w:val="Mgr. Veronika Vašicová Benešov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Mgr. Veronika Vašicová Benešová</w:t>
      </w:r>
      <w:r>
        <w:rPr>
          <w:sz w:val="20"/>
          <w:szCs w:val="20"/>
        </w:rPr>
        <w:fldChar w:fldCharType="end"/>
      </w:r>
    </w:p>
    <w:p w:rsidR="000D1B16" w:rsidRPr="008321E0" w:rsidRDefault="000D1B16" w:rsidP="000D1B16">
      <w:pPr>
        <w:pStyle w:val="Text"/>
        <w:tabs>
          <w:tab w:val="left" w:pos="900"/>
        </w:tabs>
        <w:rPr>
          <w:sz w:val="20"/>
          <w:szCs w:val="20"/>
        </w:rPr>
      </w:pPr>
      <w:r w:rsidRPr="008321E0">
        <w:rPr>
          <w:sz w:val="20"/>
          <w:szCs w:val="20"/>
        </w:rPr>
        <w:t>tel. č.:</w:t>
      </w:r>
      <w:r w:rsidRPr="008321E0">
        <w:rPr>
          <w:sz w:val="20"/>
          <w:szCs w:val="20"/>
        </w:rPr>
        <w:tab/>
      </w:r>
      <w:r>
        <w:rPr>
          <w:sz w:val="20"/>
          <w:szCs w:val="20"/>
        </w:rPr>
        <w:t>974 816 452</w:t>
      </w:r>
    </w:p>
    <w:p w:rsidR="000D1B16" w:rsidRDefault="000D1B16" w:rsidP="000D1B16">
      <w:pPr>
        <w:pStyle w:val="Text"/>
        <w:tabs>
          <w:tab w:val="left" w:pos="900"/>
        </w:tabs>
        <w:rPr>
          <w:sz w:val="20"/>
          <w:szCs w:val="20"/>
        </w:rPr>
      </w:pPr>
      <w:r w:rsidRPr="008321E0">
        <w:rPr>
          <w:sz w:val="20"/>
          <w:szCs w:val="20"/>
        </w:rPr>
        <w:t>e-mail:</w:t>
      </w:r>
      <w:r w:rsidRPr="008321E0">
        <w:rPr>
          <w:sz w:val="20"/>
          <w:szCs w:val="20"/>
        </w:rPr>
        <w:tab/>
      </w:r>
      <w:hyperlink r:id="rId7" w:history="1">
        <w:r w:rsidRPr="00BC75CF">
          <w:rPr>
            <w:rStyle w:val="Hypertextovodkaz"/>
            <w:sz w:val="20"/>
            <w:szCs w:val="20"/>
          </w:rPr>
          <w:t>posta@mvcr.cz</w:t>
        </w:r>
      </w:hyperlink>
    </w:p>
    <w:p w:rsidR="000D1B16" w:rsidRPr="0079433D" w:rsidRDefault="000D1B16" w:rsidP="000D1B16">
      <w:pPr>
        <w:pStyle w:val="Text"/>
        <w:tabs>
          <w:tab w:val="left" w:pos="900"/>
        </w:tabs>
        <w:rPr>
          <w:sz w:val="20"/>
          <w:szCs w:val="20"/>
        </w:rPr>
      </w:pPr>
    </w:p>
    <w:p w:rsidR="00774381" w:rsidRPr="008321E0" w:rsidRDefault="00774381" w:rsidP="008321E0">
      <w:pPr>
        <w:pStyle w:val="Text"/>
      </w:pPr>
    </w:p>
    <w:sectPr w:rsidR="00774381" w:rsidRPr="008321E0" w:rsidSect="000D6BCE">
      <w:headerReference w:type="default" r:id="rId8"/>
      <w:footerReference w:type="even" r:id="rId9"/>
      <w:footerReference w:type="default" r:id="rId10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FE" w:rsidRDefault="00AC1AFE">
      <w:r>
        <w:separator/>
      </w:r>
    </w:p>
  </w:endnote>
  <w:endnote w:type="continuationSeparator" w:id="0">
    <w:p w:rsidR="00AC1AFE" w:rsidRDefault="00AC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KGinis">
    <w:altName w:val="Gentium Basic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6B44">
      <w:rPr>
        <w:rStyle w:val="slostrnky"/>
        <w:noProof/>
      </w:rPr>
      <w:t>1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FE" w:rsidRDefault="00AC1AFE">
      <w:r>
        <w:separator/>
      </w:r>
    </w:p>
  </w:footnote>
  <w:footnote w:type="continuationSeparator" w:id="0">
    <w:p w:rsidR="00AC1AFE" w:rsidRDefault="00AC1AFE">
      <w:r>
        <w:continuationSeparator/>
      </w:r>
    </w:p>
  </w:footnote>
  <w:footnote w:id="1">
    <w:p w:rsidR="00740ACA" w:rsidRPr="00923DA4" w:rsidRDefault="00740ACA" w:rsidP="00923DA4">
      <w:pPr>
        <w:pStyle w:val="Textpoznpodarou"/>
        <w:jc w:val="both"/>
        <w:rPr>
          <w:rFonts w:ascii="Arial" w:hAnsi="Arial" w:cs="Arial"/>
        </w:rPr>
      </w:pPr>
      <w:r w:rsidRPr="00923DA4">
        <w:rPr>
          <w:rStyle w:val="Znakapoznpodarou"/>
          <w:rFonts w:ascii="Arial" w:hAnsi="Arial" w:cs="Arial"/>
        </w:rPr>
        <w:footnoteRef/>
      </w:r>
      <w:r w:rsidR="00923DA4">
        <w:rPr>
          <w:rFonts w:ascii="Arial" w:hAnsi="Arial" w:cs="Arial"/>
          <w:vertAlign w:val="superscript"/>
        </w:rPr>
        <w:t>)</w:t>
      </w:r>
      <w:r w:rsidR="00923DA4">
        <w:rPr>
          <w:rFonts w:ascii="Arial" w:hAnsi="Arial" w:cs="Arial"/>
        </w:rPr>
        <w:t xml:space="preserve"> </w:t>
      </w:r>
      <w:r w:rsidR="00923DA4" w:rsidRPr="00923DA4">
        <w:rPr>
          <w:rFonts w:ascii="Arial" w:hAnsi="Arial" w:cs="Arial"/>
        </w:rPr>
        <w:t xml:space="preserve">Chmelík, V. In: Potěšil, L., Furek, A., Hejč, D., Chmelík, V., Rigel, F., Škop, J. </w:t>
      </w:r>
      <w:r w:rsidR="00923DA4" w:rsidRPr="00923DA4">
        <w:rPr>
          <w:rFonts w:ascii="Arial" w:hAnsi="Arial" w:cs="Arial"/>
          <w:i/>
        </w:rPr>
        <w:t>Zákon o obcích. Komentář.</w:t>
      </w:r>
      <w:r w:rsidR="00923DA4" w:rsidRPr="00923DA4">
        <w:rPr>
          <w:rFonts w:ascii="Arial" w:hAnsi="Arial" w:cs="Arial"/>
        </w:rPr>
        <w:t xml:space="preserve"> 1. vydání. Praha: C. H. Beck, 2019, s. 477-478.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4"/>
    <w:rsid w:val="00016737"/>
    <w:rsid w:val="00021D22"/>
    <w:rsid w:val="000321A2"/>
    <w:rsid w:val="00036088"/>
    <w:rsid w:val="0003781F"/>
    <w:rsid w:val="0004248A"/>
    <w:rsid w:val="00082E19"/>
    <w:rsid w:val="000C2B94"/>
    <w:rsid w:val="000D1B16"/>
    <w:rsid w:val="000D6BCE"/>
    <w:rsid w:val="00126BB9"/>
    <w:rsid w:val="00130B82"/>
    <w:rsid w:val="00141387"/>
    <w:rsid w:val="001619BB"/>
    <w:rsid w:val="00163FE4"/>
    <w:rsid w:val="001A3A27"/>
    <w:rsid w:val="001B5A4B"/>
    <w:rsid w:val="001F1002"/>
    <w:rsid w:val="002000C3"/>
    <w:rsid w:val="00233066"/>
    <w:rsid w:val="00245F8C"/>
    <w:rsid w:val="002779E7"/>
    <w:rsid w:val="002A4440"/>
    <w:rsid w:val="002F7EC7"/>
    <w:rsid w:val="00306B44"/>
    <w:rsid w:val="00316BCE"/>
    <w:rsid w:val="00324A57"/>
    <w:rsid w:val="00350769"/>
    <w:rsid w:val="003648D3"/>
    <w:rsid w:val="00377C56"/>
    <w:rsid w:val="003D0FD3"/>
    <w:rsid w:val="003E0D42"/>
    <w:rsid w:val="003F7817"/>
    <w:rsid w:val="0042290C"/>
    <w:rsid w:val="00431C09"/>
    <w:rsid w:val="0044295B"/>
    <w:rsid w:val="00446356"/>
    <w:rsid w:val="004B06B2"/>
    <w:rsid w:val="004B1A2E"/>
    <w:rsid w:val="004B28F9"/>
    <w:rsid w:val="004D0B3D"/>
    <w:rsid w:val="0050083D"/>
    <w:rsid w:val="0050779C"/>
    <w:rsid w:val="00510E23"/>
    <w:rsid w:val="00562956"/>
    <w:rsid w:val="00566D4D"/>
    <w:rsid w:val="00581EF1"/>
    <w:rsid w:val="005923C7"/>
    <w:rsid w:val="005942C7"/>
    <w:rsid w:val="005D5925"/>
    <w:rsid w:val="005E7E43"/>
    <w:rsid w:val="005F6D82"/>
    <w:rsid w:val="00653A5B"/>
    <w:rsid w:val="00655785"/>
    <w:rsid w:val="00661399"/>
    <w:rsid w:val="006639D0"/>
    <w:rsid w:val="00671736"/>
    <w:rsid w:val="006771E9"/>
    <w:rsid w:val="00687C05"/>
    <w:rsid w:val="006A33B5"/>
    <w:rsid w:val="006B4306"/>
    <w:rsid w:val="00701EF1"/>
    <w:rsid w:val="00726761"/>
    <w:rsid w:val="00740ACA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370B6"/>
    <w:rsid w:val="008925E0"/>
    <w:rsid w:val="008A37D4"/>
    <w:rsid w:val="008A51D9"/>
    <w:rsid w:val="008F2678"/>
    <w:rsid w:val="008F69D4"/>
    <w:rsid w:val="00921CF2"/>
    <w:rsid w:val="00923DA4"/>
    <w:rsid w:val="00937463"/>
    <w:rsid w:val="00953D16"/>
    <w:rsid w:val="00976F05"/>
    <w:rsid w:val="009A306A"/>
    <w:rsid w:val="009D1276"/>
    <w:rsid w:val="009D5A08"/>
    <w:rsid w:val="00A56885"/>
    <w:rsid w:val="00A661C5"/>
    <w:rsid w:val="00A709BF"/>
    <w:rsid w:val="00A74966"/>
    <w:rsid w:val="00A81175"/>
    <w:rsid w:val="00A907C2"/>
    <w:rsid w:val="00A91D2E"/>
    <w:rsid w:val="00AB1A89"/>
    <w:rsid w:val="00AC1AFE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80F4D"/>
    <w:rsid w:val="00B9651D"/>
    <w:rsid w:val="00BB03C5"/>
    <w:rsid w:val="00BF58B4"/>
    <w:rsid w:val="00C13657"/>
    <w:rsid w:val="00C30A9C"/>
    <w:rsid w:val="00C40CC2"/>
    <w:rsid w:val="00C655A0"/>
    <w:rsid w:val="00C85604"/>
    <w:rsid w:val="00C92FC9"/>
    <w:rsid w:val="00C95DBE"/>
    <w:rsid w:val="00CB2834"/>
    <w:rsid w:val="00CC035E"/>
    <w:rsid w:val="00CD44F3"/>
    <w:rsid w:val="00CD4782"/>
    <w:rsid w:val="00CD5B3B"/>
    <w:rsid w:val="00CE7FB0"/>
    <w:rsid w:val="00D10B57"/>
    <w:rsid w:val="00D33587"/>
    <w:rsid w:val="00D42203"/>
    <w:rsid w:val="00D60068"/>
    <w:rsid w:val="00D72679"/>
    <w:rsid w:val="00DA5100"/>
    <w:rsid w:val="00DC209B"/>
    <w:rsid w:val="00DD1192"/>
    <w:rsid w:val="00DD4E1D"/>
    <w:rsid w:val="00DE1406"/>
    <w:rsid w:val="00DF18C0"/>
    <w:rsid w:val="00E05F51"/>
    <w:rsid w:val="00E10E57"/>
    <w:rsid w:val="00E22E22"/>
    <w:rsid w:val="00E36CFA"/>
    <w:rsid w:val="00E375D4"/>
    <w:rsid w:val="00E67CA2"/>
    <w:rsid w:val="00E94B73"/>
    <w:rsid w:val="00EA4DD4"/>
    <w:rsid w:val="00EB2054"/>
    <w:rsid w:val="00ED279B"/>
    <w:rsid w:val="00EF39B0"/>
    <w:rsid w:val="00F064BA"/>
    <w:rsid w:val="00F137F1"/>
    <w:rsid w:val="00F217DA"/>
    <w:rsid w:val="00F2775E"/>
    <w:rsid w:val="00F32120"/>
    <w:rsid w:val="00F36ED6"/>
    <w:rsid w:val="00F618D2"/>
    <w:rsid w:val="00F954CD"/>
    <w:rsid w:val="00F95DCD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8CE667-040A-41D2-A533-11882ED3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1B16"/>
    <w:rPr>
      <w:color w:val="0000FF" w:themeColor="hyperlink"/>
      <w:u w:val="single"/>
    </w:rPr>
  </w:style>
  <w:style w:type="paragraph" w:customStyle="1" w:styleId="Default">
    <w:name w:val="Default"/>
    <w:rsid w:val="000D1B1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ighlight">
    <w:name w:val="highlight"/>
    <w:basedOn w:val="Standardnpsmoodstavce"/>
    <w:rsid w:val="00E36CFA"/>
  </w:style>
  <w:style w:type="paragraph" w:styleId="Textpoznpodarou">
    <w:name w:val="footnote text"/>
    <w:basedOn w:val="Normln"/>
    <w:link w:val="TextpoznpodarouChar"/>
    <w:semiHidden/>
    <w:unhideWhenUsed/>
    <w:rsid w:val="00740A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0ACA"/>
  </w:style>
  <w:style w:type="character" w:styleId="Znakapoznpodarou">
    <w:name w:val="footnote reference"/>
    <w:basedOn w:val="Standardnpsmoodstavce"/>
    <w:semiHidden/>
    <w:unhideWhenUsed/>
    <w:rsid w:val="00740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@m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V\AppData\Local\Temp\1FA580F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BA05-F891-4C80-9FAF-E21BB387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1FA580F3</Template>
  <TotalTime>0</TotalTime>
  <Pages>4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BENEŠOVÁ Veronika, Mgr.</dc:creator>
  <cp:lastModifiedBy>Veronika Liberdová</cp:lastModifiedBy>
  <cp:revision>2</cp:revision>
  <cp:lastPrinted>1900-12-31T23:00:00Z</cp:lastPrinted>
  <dcterms:created xsi:type="dcterms:W3CDTF">2021-11-02T06:06:00Z</dcterms:created>
  <dcterms:modified xsi:type="dcterms:W3CDTF">2021-11-02T06:06:00Z</dcterms:modified>
</cp:coreProperties>
</file>