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7891" w14:textId="77777777" w:rsidR="000E1FA6" w:rsidRPr="00513275" w:rsidRDefault="000E1FA6" w:rsidP="00DB6BD5">
      <w:pPr>
        <w:spacing w:before="1920" w:after="240"/>
        <w:rPr>
          <w:rFonts w:cs="Calibri"/>
          <w:szCs w:val="20"/>
        </w:rPr>
      </w:pPr>
      <w:r w:rsidRPr="00513275">
        <w:rPr>
          <w:rFonts w:cs="Calibri"/>
          <w:szCs w:val="20"/>
        </w:rPr>
        <w:t>Název vnitřního předpisu:</w:t>
      </w:r>
    </w:p>
    <w:p w14:paraId="74031598" w14:textId="6D360154" w:rsidR="0080784A" w:rsidRPr="0080784A" w:rsidRDefault="0080784A" w:rsidP="0068429C">
      <w:pPr>
        <w:autoSpaceDE w:val="0"/>
        <w:autoSpaceDN w:val="0"/>
        <w:adjustRightInd w:val="0"/>
        <w:jc w:val="left"/>
        <w:rPr>
          <w:rFonts w:cstheme="minorHAnsi"/>
          <w:b/>
          <w:caps/>
          <w:sz w:val="52"/>
          <w:szCs w:val="52"/>
        </w:rPr>
      </w:pPr>
      <w:r w:rsidRPr="0080784A">
        <w:rPr>
          <w:rFonts w:cstheme="minorHAnsi"/>
          <w:b/>
          <w:caps/>
          <w:sz w:val="52"/>
          <w:szCs w:val="52"/>
        </w:rPr>
        <w:t xml:space="preserve">Pravidla pro poskytnutí finanční podpory občanům města Příbora postiženým povodněmi po 12.09.2024 v rámci výzvy „Pomoc domácnostem po povodni 2024“ </w:t>
      </w:r>
    </w:p>
    <w:p w14:paraId="619CC969" w14:textId="35605624" w:rsidR="000E1FA6" w:rsidRPr="00513275" w:rsidRDefault="000E1FA6" w:rsidP="0080784A">
      <w:pPr>
        <w:autoSpaceDE w:val="0"/>
        <w:autoSpaceDN w:val="0"/>
        <w:adjustRightInd w:val="0"/>
        <w:rPr>
          <w:rFonts w:cs="Calibri"/>
          <w:szCs w:val="20"/>
        </w:rPr>
      </w:pPr>
      <w:r>
        <w:rPr>
          <w:rFonts w:cs="Calibri"/>
          <w:szCs w:val="20"/>
        </w:rPr>
        <w:t>Druh</w:t>
      </w:r>
      <w:r w:rsidRPr="00513275">
        <w:rPr>
          <w:rFonts w:cs="Calibri"/>
          <w:szCs w:val="20"/>
        </w:rPr>
        <w:t xml:space="preserve"> vnitřního předpisu:</w:t>
      </w:r>
    </w:p>
    <w:p w14:paraId="56E7AB51" w14:textId="34398447" w:rsidR="000E1FA6" w:rsidRPr="00513275" w:rsidRDefault="0080784A" w:rsidP="000E1FA6">
      <w:pPr>
        <w:keepNext/>
        <w:spacing w:after="720"/>
        <w:jc w:val="left"/>
        <w:outlineLvl w:val="7"/>
        <w:rPr>
          <w:rFonts w:cs="Calibri"/>
          <w:b/>
          <w:smallCaps/>
          <w:sz w:val="52"/>
          <w:szCs w:val="52"/>
        </w:rPr>
      </w:pPr>
      <w:r>
        <w:rPr>
          <w:rFonts w:cs="Calibri"/>
          <w:b/>
          <w:smallCaps/>
          <w:sz w:val="52"/>
          <w:szCs w:val="52"/>
        </w:rPr>
        <w:t>Pravidla</w:t>
      </w:r>
    </w:p>
    <w:p w14:paraId="1B8EC985" w14:textId="41A5AF51" w:rsidR="00513275" w:rsidRPr="00513275" w:rsidRDefault="00513275" w:rsidP="00513275">
      <w:pPr>
        <w:spacing w:after="240"/>
        <w:rPr>
          <w:rFonts w:cs="Calibri"/>
          <w:szCs w:val="20"/>
        </w:rPr>
      </w:pPr>
      <w:r w:rsidRPr="00513275">
        <w:rPr>
          <w:rFonts w:cs="Calibri"/>
          <w:szCs w:val="20"/>
        </w:rPr>
        <w:t>Číslo</w:t>
      </w:r>
      <w:r w:rsidR="000E1FA6">
        <w:rPr>
          <w:rFonts w:cs="Calibri"/>
          <w:szCs w:val="20"/>
        </w:rPr>
        <w:t xml:space="preserve"> </w:t>
      </w:r>
      <w:r w:rsidR="000E1FA6" w:rsidRPr="00513275">
        <w:rPr>
          <w:rFonts w:cs="Calibri"/>
          <w:szCs w:val="20"/>
        </w:rPr>
        <w:t>vnitřního předpisu</w:t>
      </w:r>
      <w:r w:rsidRPr="00513275">
        <w:rPr>
          <w:rFonts w:cs="Calibri"/>
          <w:szCs w:val="20"/>
        </w:rPr>
        <w:t>:</w:t>
      </w:r>
    </w:p>
    <w:p w14:paraId="4FD5B567" w14:textId="6E9B3509" w:rsidR="00513275" w:rsidRPr="000E1FA6" w:rsidRDefault="00CB051A" w:rsidP="000F37DA">
      <w:pPr>
        <w:spacing w:after="1200"/>
        <w:rPr>
          <w:rFonts w:cs="Calibri"/>
          <w:b/>
          <w:bCs/>
          <w:sz w:val="52"/>
          <w:szCs w:val="52"/>
        </w:rPr>
      </w:pPr>
      <w:r>
        <w:rPr>
          <w:rFonts w:cs="Calibri"/>
          <w:b/>
          <w:bCs/>
          <w:sz w:val="52"/>
          <w:szCs w:val="52"/>
        </w:rPr>
        <w:t>.</w:t>
      </w:r>
      <w:r w:rsidR="00513275" w:rsidRPr="000E1FA6">
        <w:rPr>
          <w:rFonts w:cs="Calibri"/>
          <w:b/>
          <w:bCs/>
          <w:sz w:val="52"/>
          <w:szCs w:val="52"/>
        </w:rPr>
        <w:t>/202</w:t>
      </w:r>
      <w:r>
        <w:rPr>
          <w:rFonts w:cs="Calibri"/>
          <w:b/>
          <w:bCs/>
          <w:sz w:val="52"/>
          <w:szCs w:val="52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46352D" w:rsidRPr="0046352D" w14:paraId="50419968" w14:textId="77777777" w:rsidTr="00881999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1B924996" w14:textId="7113AE8A" w:rsidR="00870F90" w:rsidRPr="0046352D" w:rsidRDefault="00870F90" w:rsidP="007406DE">
            <w:pPr>
              <w:pStyle w:val="Bezmezer"/>
              <w:jc w:val="left"/>
            </w:pPr>
            <w:r w:rsidRPr="0046352D">
              <w:t>Vydal (schválil):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561DCCAB" w14:textId="6EA404E2" w:rsidR="00870F90" w:rsidRPr="00CD39B6" w:rsidRDefault="0080784A" w:rsidP="007406DE">
            <w:pPr>
              <w:pStyle w:val="Bezmezer"/>
              <w:jc w:val="left"/>
            </w:pPr>
            <w:r>
              <w:t>Zastupitelstvo města Příbora</w:t>
            </w:r>
          </w:p>
        </w:tc>
      </w:tr>
      <w:tr w:rsidR="0046352D" w:rsidRPr="0046352D" w14:paraId="5E15C2CE" w14:textId="77777777" w:rsidTr="00881999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7FA70A16" w14:textId="77777777" w:rsidR="00870F90" w:rsidRPr="0046352D" w:rsidRDefault="00870F90" w:rsidP="007406DE">
            <w:pPr>
              <w:pStyle w:val="Bezmezer"/>
              <w:jc w:val="left"/>
            </w:pPr>
            <w:r w:rsidRPr="0046352D">
              <w:t>Datum účinnosti: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463AEFFE" w14:textId="60613C6E" w:rsidR="00870F90" w:rsidRPr="00E01ECD" w:rsidRDefault="0080784A" w:rsidP="007406DE">
            <w:pPr>
              <w:pStyle w:val="Bezmezer"/>
              <w:jc w:val="left"/>
            </w:pPr>
            <w:r>
              <w:t>13.02.2025</w:t>
            </w:r>
          </w:p>
        </w:tc>
      </w:tr>
      <w:tr w:rsidR="0046352D" w:rsidRPr="0046352D" w14:paraId="5DE76493" w14:textId="77777777" w:rsidTr="00881999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03DF4962" w14:textId="77777777" w:rsidR="00870F90" w:rsidRPr="0046352D" w:rsidRDefault="00870F90" w:rsidP="007406DE">
            <w:pPr>
              <w:pStyle w:val="Bezmezer"/>
              <w:jc w:val="left"/>
            </w:pPr>
            <w:r w:rsidRPr="0046352D">
              <w:t>Ruší: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280EE156" w14:textId="0D583A01" w:rsidR="00870F90" w:rsidRPr="00B45CC8" w:rsidRDefault="00870F90" w:rsidP="007406DE">
            <w:pPr>
              <w:pStyle w:val="Bezmezer"/>
              <w:jc w:val="left"/>
            </w:pPr>
          </w:p>
        </w:tc>
      </w:tr>
      <w:tr w:rsidR="0046352D" w:rsidRPr="0046352D" w14:paraId="6BD41BD0" w14:textId="77777777" w:rsidTr="00881999">
        <w:trPr>
          <w:jc w:val="center"/>
        </w:trPr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110A4E6C" w14:textId="77777777" w:rsidR="00870F90" w:rsidRPr="0046352D" w:rsidRDefault="00870F90" w:rsidP="007406DE">
            <w:pPr>
              <w:pStyle w:val="Bezmezer"/>
              <w:jc w:val="left"/>
            </w:pPr>
            <w:r w:rsidRPr="0046352D">
              <w:t>Zpracoval: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536F31BE" w14:textId="14E06463" w:rsidR="00870F90" w:rsidRPr="0046352D" w:rsidRDefault="0080784A" w:rsidP="007406DE">
            <w:pPr>
              <w:pStyle w:val="Bezmezer"/>
              <w:jc w:val="left"/>
            </w:pPr>
            <w:r>
              <w:t>Mgr. Blanka Kovaláková</w:t>
            </w:r>
          </w:p>
        </w:tc>
      </w:tr>
    </w:tbl>
    <w:p w14:paraId="5A69B57D" w14:textId="0BCA89EB" w:rsidR="007B49C0" w:rsidRPr="008843EE" w:rsidRDefault="007B49C0" w:rsidP="008843EE">
      <w:pPr>
        <w:pStyle w:val="Obsah1"/>
        <w:rPr>
          <w:color w:val="auto"/>
        </w:rPr>
      </w:pPr>
      <w:r>
        <w:br w:type="page"/>
      </w:r>
      <w:r w:rsidRPr="008843EE">
        <w:rPr>
          <w:color w:val="auto"/>
        </w:rPr>
        <w:lastRenderedPageBreak/>
        <w:t>Obsah:</w:t>
      </w:r>
    </w:p>
    <w:p w14:paraId="7F9E5CEE" w14:textId="77777777" w:rsidR="001F28E6" w:rsidRPr="008843EE" w:rsidRDefault="007B49C0" w:rsidP="008843EE">
      <w:pPr>
        <w:pStyle w:val="Obsah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8843EE">
        <w:rPr>
          <w:rStyle w:val="Hypertextovodkaz"/>
          <w:color w:val="auto"/>
        </w:rPr>
        <w:fldChar w:fldCharType="begin"/>
      </w:r>
      <w:r w:rsidRPr="008843EE">
        <w:rPr>
          <w:rStyle w:val="Hypertextovodkaz"/>
          <w:color w:val="auto"/>
        </w:rPr>
        <w:instrText xml:space="preserve"> TOC \o "1-1" \h \z \u </w:instrText>
      </w:r>
      <w:r w:rsidRPr="008843EE">
        <w:rPr>
          <w:rStyle w:val="Hypertextovodkaz"/>
          <w:color w:val="auto"/>
        </w:rPr>
        <w:fldChar w:fldCharType="separate"/>
      </w:r>
      <w:hyperlink w:anchor="_Toc189121475" w:history="1">
        <w:r w:rsidR="001F28E6" w:rsidRPr="008843EE">
          <w:rPr>
            <w:rStyle w:val="Hypertextovodkaz"/>
            <w:color w:val="auto"/>
          </w:rPr>
          <w:t>Čl. I. Předmět úpravy</w:t>
        </w:r>
        <w:r w:rsidR="001F28E6" w:rsidRPr="008843EE">
          <w:rPr>
            <w:webHidden/>
            <w:color w:val="auto"/>
          </w:rPr>
          <w:tab/>
        </w:r>
        <w:r w:rsidR="001F28E6" w:rsidRPr="008843EE">
          <w:rPr>
            <w:webHidden/>
            <w:color w:val="auto"/>
          </w:rPr>
          <w:fldChar w:fldCharType="begin"/>
        </w:r>
        <w:r w:rsidR="001F28E6" w:rsidRPr="008843EE">
          <w:rPr>
            <w:webHidden/>
            <w:color w:val="auto"/>
          </w:rPr>
          <w:instrText xml:space="preserve"> PAGEREF _Toc189121475 \h </w:instrText>
        </w:r>
        <w:r w:rsidR="001F28E6" w:rsidRPr="008843EE">
          <w:rPr>
            <w:webHidden/>
            <w:color w:val="auto"/>
          </w:rPr>
        </w:r>
        <w:r w:rsidR="001F28E6" w:rsidRPr="008843EE">
          <w:rPr>
            <w:webHidden/>
            <w:color w:val="auto"/>
          </w:rPr>
          <w:fldChar w:fldCharType="separate"/>
        </w:r>
        <w:r w:rsidR="001F28E6" w:rsidRPr="008843EE">
          <w:rPr>
            <w:webHidden/>
            <w:color w:val="auto"/>
          </w:rPr>
          <w:t>2</w:t>
        </w:r>
        <w:r w:rsidR="001F28E6" w:rsidRPr="008843EE">
          <w:rPr>
            <w:webHidden/>
            <w:color w:val="auto"/>
          </w:rPr>
          <w:fldChar w:fldCharType="end"/>
        </w:r>
      </w:hyperlink>
    </w:p>
    <w:p w14:paraId="79602126" w14:textId="77777777" w:rsidR="001F28E6" w:rsidRPr="008843EE" w:rsidRDefault="008516E1" w:rsidP="008843EE">
      <w:pPr>
        <w:pStyle w:val="Obsah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9121476" w:history="1">
        <w:r w:rsidR="001F28E6" w:rsidRPr="008843EE">
          <w:rPr>
            <w:rStyle w:val="Hypertextovodkaz"/>
            <w:color w:val="auto"/>
          </w:rPr>
          <w:t>Čl. II. Důvod a účel finanční podpory</w:t>
        </w:r>
        <w:r w:rsidR="001F28E6" w:rsidRPr="008843EE">
          <w:rPr>
            <w:webHidden/>
            <w:color w:val="auto"/>
          </w:rPr>
          <w:tab/>
        </w:r>
        <w:r w:rsidR="001F28E6" w:rsidRPr="008843EE">
          <w:rPr>
            <w:webHidden/>
            <w:color w:val="auto"/>
          </w:rPr>
          <w:fldChar w:fldCharType="begin"/>
        </w:r>
        <w:r w:rsidR="001F28E6" w:rsidRPr="008843EE">
          <w:rPr>
            <w:webHidden/>
            <w:color w:val="auto"/>
          </w:rPr>
          <w:instrText xml:space="preserve"> PAGEREF _Toc189121476 \h </w:instrText>
        </w:r>
        <w:r w:rsidR="001F28E6" w:rsidRPr="008843EE">
          <w:rPr>
            <w:webHidden/>
            <w:color w:val="auto"/>
          </w:rPr>
        </w:r>
        <w:r w:rsidR="001F28E6" w:rsidRPr="008843EE">
          <w:rPr>
            <w:webHidden/>
            <w:color w:val="auto"/>
          </w:rPr>
          <w:fldChar w:fldCharType="separate"/>
        </w:r>
        <w:r w:rsidR="001F28E6" w:rsidRPr="008843EE">
          <w:rPr>
            <w:webHidden/>
            <w:color w:val="auto"/>
          </w:rPr>
          <w:t>2</w:t>
        </w:r>
        <w:r w:rsidR="001F28E6" w:rsidRPr="008843EE">
          <w:rPr>
            <w:webHidden/>
            <w:color w:val="auto"/>
          </w:rPr>
          <w:fldChar w:fldCharType="end"/>
        </w:r>
      </w:hyperlink>
    </w:p>
    <w:p w14:paraId="77E4B765" w14:textId="77777777" w:rsidR="001F28E6" w:rsidRPr="008843EE" w:rsidRDefault="008516E1" w:rsidP="008843EE">
      <w:pPr>
        <w:pStyle w:val="Obsah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9121477" w:history="1">
        <w:r w:rsidR="001F28E6" w:rsidRPr="008843EE">
          <w:rPr>
            <w:rStyle w:val="Hypertextovodkaz"/>
            <w:color w:val="auto"/>
          </w:rPr>
          <w:t>Čl. III. Vymezení pojmů</w:t>
        </w:r>
        <w:r w:rsidR="001F28E6" w:rsidRPr="008843EE">
          <w:rPr>
            <w:webHidden/>
            <w:color w:val="auto"/>
          </w:rPr>
          <w:tab/>
        </w:r>
        <w:r w:rsidR="001F28E6" w:rsidRPr="008843EE">
          <w:rPr>
            <w:webHidden/>
            <w:color w:val="auto"/>
          </w:rPr>
          <w:fldChar w:fldCharType="begin"/>
        </w:r>
        <w:r w:rsidR="001F28E6" w:rsidRPr="008843EE">
          <w:rPr>
            <w:webHidden/>
            <w:color w:val="auto"/>
          </w:rPr>
          <w:instrText xml:space="preserve"> PAGEREF _Toc189121477 \h </w:instrText>
        </w:r>
        <w:r w:rsidR="001F28E6" w:rsidRPr="008843EE">
          <w:rPr>
            <w:webHidden/>
            <w:color w:val="auto"/>
          </w:rPr>
        </w:r>
        <w:r w:rsidR="001F28E6" w:rsidRPr="008843EE">
          <w:rPr>
            <w:webHidden/>
            <w:color w:val="auto"/>
          </w:rPr>
          <w:fldChar w:fldCharType="separate"/>
        </w:r>
        <w:r w:rsidR="001F28E6" w:rsidRPr="008843EE">
          <w:rPr>
            <w:webHidden/>
            <w:color w:val="auto"/>
          </w:rPr>
          <w:t>3</w:t>
        </w:r>
        <w:r w:rsidR="001F28E6" w:rsidRPr="008843EE">
          <w:rPr>
            <w:webHidden/>
            <w:color w:val="auto"/>
          </w:rPr>
          <w:fldChar w:fldCharType="end"/>
        </w:r>
      </w:hyperlink>
    </w:p>
    <w:p w14:paraId="1C5CA2FE" w14:textId="77777777" w:rsidR="001F28E6" w:rsidRPr="008843EE" w:rsidRDefault="008516E1" w:rsidP="008843EE">
      <w:pPr>
        <w:pStyle w:val="Obsah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9121478" w:history="1">
        <w:r w:rsidR="001F28E6" w:rsidRPr="008843EE">
          <w:rPr>
            <w:rStyle w:val="Hypertextovodkaz"/>
            <w:color w:val="auto"/>
          </w:rPr>
          <w:t>Čl. IV. Podmínky pro poskytnutí finanční podpory</w:t>
        </w:r>
        <w:r w:rsidR="001F28E6" w:rsidRPr="008843EE">
          <w:rPr>
            <w:webHidden/>
            <w:color w:val="auto"/>
          </w:rPr>
          <w:tab/>
        </w:r>
        <w:r w:rsidR="001F28E6" w:rsidRPr="008843EE">
          <w:rPr>
            <w:webHidden/>
            <w:color w:val="auto"/>
          </w:rPr>
          <w:fldChar w:fldCharType="begin"/>
        </w:r>
        <w:r w:rsidR="001F28E6" w:rsidRPr="008843EE">
          <w:rPr>
            <w:webHidden/>
            <w:color w:val="auto"/>
          </w:rPr>
          <w:instrText xml:space="preserve"> PAGEREF _Toc189121478 \h </w:instrText>
        </w:r>
        <w:r w:rsidR="001F28E6" w:rsidRPr="008843EE">
          <w:rPr>
            <w:webHidden/>
            <w:color w:val="auto"/>
          </w:rPr>
        </w:r>
        <w:r w:rsidR="001F28E6" w:rsidRPr="008843EE">
          <w:rPr>
            <w:webHidden/>
            <w:color w:val="auto"/>
          </w:rPr>
          <w:fldChar w:fldCharType="separate"/>
        </w:r>
        <w:r w:rsidR="001F28E6" w:rsidRPr="008843EE">
          <w:rPr>
            <w:webHidden/>
            <w:color w:val="auto"/>
          </w:rPr>
          <w:t>3</w:t>
        </w:r>
        <w:r w:rsidR="001F28E6" w:rsidRPr="008843EE">
          <w:rPr>
            <w:webHidden/>
            <w:color w:val="auto"/>
          </w:rPr>
          <w:fldChar w:fldCharType="end"/>
        </w:r>
      </w:hyperlink>
    </w:p>
    <w:p w14:paraId="28E5A325" w14:textId="77777777" w:rsidR="001F28E6" w:rsidRPr="008843EE" w:rsidRDefault="008516E1" w:rsidP="008843EE">
      <w:pPr>
        <w:pStyle w:val="Obsah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9121479" w:history="1">
        <w:r w:rsidR="001F28E6" w:rsidRPr="008843EE">
          <w:rPr>
            <w:rStyle w:val="Hypertextovodkaz"/>
            <w:color w:val="auto"/>
          </w:rPr>
          <w:t>Čl. V. Výše finanční podpory</w:t>
        </w:r>
        <w:r w:rsidR="001F28E6" w:rsidRPr="008843EE">
          <w:rPr>
            <w:webHidden/>
            <w:color w:val="auto"/>
          </w:rPr>
          <w:tab/>
        </w:r>
        <w:r w:rsidR="001F28E6" w:rsidRPr="008843EE">
          <w:rPr>
            <w:webHidden/>
            <w:color w:val="auto"/>
          </w:rPr>
          <w:fldChar w:fldCharType="begin"/>
        </w:r>
        <w:r w:rsidR="001F28E6" w:rsidRPr="008843EE">
          <w:rPr>
            <w:webHidden/>
            <w:color w:val="auto"/>
          </w:rPr>
          <w:instrText xml:space="preserve"> PAGEREF _Toc189121479 \h </w:instrText>
        </w:r>
        <w:r w:rsidR="001F28E6" w:rsidRPr="008843EE">
          <w:rPr>
            <w:webHidden/>
            <w:color w:val="auto"/>
          </w:rPr>
        </w:r>
        <w:r w:rsidR="001F28E6" w:rsidRPr="008843EE">
          <w:rPr>
            <w:webHidden/>
            <w:color w:val="auto"/>
          </w:rPr>
          <w:fldChar w:fldCharType="separate"/>
        </w:r>
        <w:r w:rsidR="001F28E6" w:rsidRPr="008843EE">
          <w:rPr>
            <w:webHidden/>
            <w:color w:val="auto"/>
          </w:rPr>
          <w:t>4</w:t>
        </w:r>
        <w:r w:rsidR="001F28E6" w:rsidRPr="008843EE">
          <w:rPr>
            <w:webHidden/>
            <w:color w:val="auto"/>
          </w:rPr>
          <w:fldChar w:fldCharType="end"/>
        </w:r>
      </w:hyperlink>
    </w:p>
    <w:p w14:paraId="0CB0971D" w14:textId="77777777" w:rsidR="001F28E6" w:rsidRPr="008843EE" w:rsidRDefault="008516E1" w:rsidP="008843EE">
      <w:pPr>
        <w:pStyle w:val="Obsah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9121480" w:history="1">
        <w:r w:rsidR="001F28E6" w:rsidRPr="008843EE">
          <w:rPr>
            <w:rStyle w:val="Hypertextovodkaz"/>
            <w:color w:val="auto"/>
          </w:rPr>
          <w:t>Čl. VI. Žádost o finanční podporu</w:t>
        </w:r>
        <w:r w:rsidR="001F28E6" w:rsidRPr="008843EE">
          <w:rPr>
            <w:webHidden/>
            <w:color w:val="auto"/>
          </w:rPr>
          <w:tab/>
        </w:r>
        <w:r w:rsidR="001F28E6" w:rsidRPr="008843EE">
          <w:rPr>
            <w:webHidden/>
            <w:color w:val="auto"/>
          </w:rPr>
          <w:fldChar w:fldCharType="begin"/>
        </w:r>
        <w:r w:rsidR="001F28E6" w:rsidRPr="008843EE">
          <w:rPr>
            <w:webHidden/>
            <w:color w:val="auto"/>
          </w:rPr>
          <w:instrText xml:space="preserve"> PAGEREF _Toc189121480 \h </w:instrText>
        </w:r>
        <w:r w:rsidR="001F28E6" w:rsidRPr="008843EE">
          <w:rPr>
            <w:webHidden/>
            <w:color w:val="auto"/>
          </w:rPr>
        </w:r>
        <w:r w:rsidR="001F28E6" w:rsidRPr="008843EE">
          <w:rPr>
            <w:webHidden/>
            <w:color w:val="auto"/>
          </w:rPr>
          <w:fldChar w:fldCharType="separate"/>
        </w:r>
        <w:r w:rsidR="001F28E6" w:rsidRPr="008843EE">
          <w:rPr>
            <w:webHidden/>
            <w:color w:val="auto"/>
          </w:rPr>
          <w:t>5</w:t>
        </w:r>
        <w:r w:rsidR="001F28E6" w:rsidRPr="008843EE">
          <w:rPr>
            <w:webHidden/>
            <w:color w:val="auto"/>
          </w:rPr>
          <w:fldChar w:fldCharType="end"/>
        </w:r>
      </w:hyperlink>
    </w:p>
    <w:p w14:paraId="6DA1F0C0" w14:textId="77777777" w:rsidR="001F28E6" w:rsidRPr="008843EE" w:rsidRDefault="008516E1" w:rsidP="008843EE">
      <w:pPr>
        <w:pStyle w:val="Obsah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9121481" w:history="1">
        <w:r w:rsidR="001F28E6" w:rsidRPr="008843EE">
          <w:rPr>
            <w:rStyle w:val="Hypertextovodkaz"/>
            <w:color w:val="auto"/>
          </w:rPr>
          <w:t>Čl. VII. Rozhodování o finanční podpoře</w:t>
        </w:r>
        <w:r w:rsidR="001F28E6" w:rsidRPr="008843EE">
          <w:rPr>
            <w:webHidden/>
            <w:color w:val="auto"/>
          </w:rPr>
          <w:tab/>
        </w:r>
        <w:r w:rsidR="001F28E6" w:rsidRPr="008843EE">
          <w:rPr>
            <w:webHidden/>
            <w:color w:val="auto"/>
          </w:rPr>
          <w:fldChar w:fldCharType="begin"/>
        </w:r>
        <w:r w:rsidR="001F28E6" w:rsidRPr="008843EE">
          <w:rPr>
            <w:webHidden/>
            <w:color w:val="auto"/>
          </w:rPr>
          <w:instrText xml:space="preserve"> PAGEREF _Toc189121481 \h </w:instrText>
        </w:r>
        <w:r w:rsidR="001F28E6" w:rsidRPr="008843EE">
          <w:rPr>
            <w:webHidden/>
            <w:color w:val="auto"/>
          </w:rPr>
        </w:r>
        <w:r w:rsidR="001F28E6" w:rsidRPr="008843EE">
          <w:rPr>
            <w:webHidden/>
            <w:color w:val="auto"/>
          </w:rPr>
          <w:fldChar w:fldCharType="separate"/>
        </w:r>
        <w:r w:rsidR="001F28E6" w:rsidRPr="008843EE">
          <w:rPr>
            <w:webHidden/>
            <w:color w:val="auto"/>
          </w:rPr>
          <w:t>5</w:t>
        </w:r>
        <w:r w:rsidR="001F28E6" w:rsidRPr="008843EE">
          <w:rPr>
            <w:webHidden/>
            <w:color w:val="auto"/>
          </w:rPr>
          <w:fldChar w:fldCharType="end"/>
        </w:r>
      </w:hyperlink>
    </w:p>
    <w:p w14:paraId="789DDEF2" w14:textId="77777777" w:rsidR="001F28E6" w:rsidRPr="008843EE" w:rsidRDefault="008516E1" w:rsidP="008843EE">
      <w:pPr>
        <w:pStyle w:val="Obsah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89121482" w:history="1">
        <w:r w:rsidR="001F28E6" w:rsidRPr="008843EE">
          <w:rPr>
            <w:rStyle w:val="Hypertextovodkaz"/>
            <w:color w:val="auto"/>
          </w:rPr>
          <w:t>Čl. VIII. Závěrečná ustanovení</w:t>
        </w:r>
        <w:r w:rsidR="001F28E6" w:rsidRPr="008843EE">
          <w:rPr>
            <w:webHidden/>
            <w:color w:val="auto"/>
          </w:rPr>
          <w:tab/>
        </w:r>
        <w:r w:rsidR="001F28E6" w:rsidRPr="008843EE">
          <w:rPr>
            <w:webHidden/>
            <w:color w:val="auto"/>
          </w:rPr>
          <w:fldChar w:fldCharType="begin"/>
        </w:r>
        <w:r w:rsidR="001F28E6" w:rsidRPr="008843EE">
          <w:rPr>
            <w:webHidden/>
            <w:color w:val="auto"/>
          </w:rPr>
          <w:instrText xml:space="preserve"> PAGEREF _Toc189121482 \h </w:instrText>
        </w:r>
        <w:r w:rsidR="001F28E6" w:rsidRPr="008843EE">
          <w:rPr>
            <w:webHidden/>
            <w:color w:val="auto"/>
          </w:rPr>
        </w:r>
        <w:r w:rsidR="001F28E6" w:rsidRPr="008843EE">
          <w:rPr>
            <w:webHidden/>
            <w:color w:val="auto"/>
          </w:rPr>
          <w:fldChar w:fldCharType="separate"/>
        </w:r>
        <w:r w:rsidR="001F28E6" w:rsidRPr="008843EE">
          <w:rPr>
            <w:webHidden/>
            <w:color w:val="auto"/>
          </w:rPr>
          <w:t>5</w:t>
        </w:r>
        <w:r w:rsidR="001F28E6" w:rsidRPr="008843EE">
          <w:rPr>
            <w:webHidden/>
            <w:color w:val="auto"/>
          </w:rPr>
          <w:fldChar w:fldCharType="end"/>
        </w:r>
      </w:hyperlink>
    </w:p>
    <w:p w14:paraId="452967A9" w14:textId="28CD5117" w:rsidR="0091269D" w:rsidRPr="008843EE" w:rsidRDefault="007B49C0" w:rsidP="008843EE">
      <w:pPr>
        <w:pStyle w:val="Obsah1"/>
        <w:rPr>
          <w:color w:val="auto"/>
        </w:rPr>
      </w:pPr>
      <w:r w:rsidRPr="008843EE">
        <w:rPr>
          <w:rStyle w:val="Hypertextovodkaz"/>
          <w:color w:val="auto"/>
        </w:rPr>
        <w:fldChar w:fldCharType="end"/>
      </w:r>
      <w:r w:rsidR="0080784A" w:rsidRPr="008843EE">
        <w:rPr>
          <w:color w:val="auto"/>
        </w:rPr>
        <w:t>Zastupitelstvo města</w:t>
      </w:r>
      <w:r w:rsidR="0091269D" w:rsidRPr="008843EE">
        <w:rPr>
          <w:color w:val="auto"/>
        </w:rPr>
        <w:t xml:space="preserve"> Příbor</w:t>
      </w:r>
      <w:r w:rsidR="0080784A" w:rsidRPr="008843EE">
        <w:rPr>
          <w:color w:val="auto"/>
        </w:rPr>
        <w:t>a</w:t>
      </w:r>
      <w:r w:rsidR="0091269D" w:rsidRPr="008843EE">
        <w:rPr>
          <w:color w:val="auto"/>
        </w:rPr>
        <w:t xml:space="preserve"> </w:t>
      </w:r>
      <w:r w:rsidR="00010AB7">
        <w:rPr>
          <w:color w:val="auto"/>
        </w:rPr>
        <w:t>vydává na zákl</w:t>
      </w:r>
      <w:r w:rsidR="00D60799">
        <w:rPr>
          <w:color w:val="auto"/>
        </w:rPr>
        <w:t>adě Výzvy „Pomoc domácnostem po </w:t>
      </w:r>
      <w:r w:rsidR="00010AB7">
        <w:rPr>
          <w:color w:val="auto"/>
        </w:rPr>
        <w:t>povodni 2024“ k předkládání žádosti o poskytnutí podpory (mimořádné dotační opatření k řešení následků povodní na území České republiky) vyhlášené Ministerstvem životního prostředí prostřednictvím Státního fondu životního prostředí ČR tato:</w:t>
      </w:r>
    </w:p>
    <w:p w14:paraId="31D42FED" w14:textId="6D7B10D6" w:rsidR="0091269D" w:rsidRDefault="0091269D" w:rsidP="0091269D">
      <w:pPr>
        <w:jc w:val="center"/>
      </w:pPr>
      <w:r>
        <w:t>„</w:t>
      </w:r>
      <w:r w:rsidR="0080784A">
        <w:t>Pravidla</w:t>
      </w:r>
      <w:r>
        <w:t>”.</w:t>
      </w:r>
    </w:p>
    <w:p w14:paraId="391B41F9" w14:textId="47887735" w:rsidR="00AF2CD7" w:rsidRPr="00C46086" w:rsidRDefault="00AF2CD7" w:rsidP="00AF2CD7">
      <w:pPr>
        <w:pStyle w:val="Nadpis1"/>
      </w:pPr>
      <w:r w:rsidRPr="00C46086">
        <w:br/>
      </w:r>
      <w:bookmarkStart w:id="0" w:name="_Toc189121475"/>
      <w:r w:rsidR="0091269D" w:rsidRPr="0091269D">
        <w:t>Předmět úpravy</w:t>
      </w:r>
      <w:bookmarkEnd w:id="0"/>
    </w:p>
    <w:p w14:paraId="32FFAD9C" w14:textId="533980E9" w:rsidR="00513275" w:rsidRPr="00513275" w:rsidRDefault="0080784A" w:rsidP="008843EE">
      <w:pPr>
        <w:ind w:left="284"/>
      </w:pPr>
      <w:r>
        <w:t>T</w:t>
      </w:r>
      <w:r w:rsidR="00E62073">
        <w:t>ato</w:t>
      </w:r>
      <w:bookmarkStart w:id="1" w:name="_GoBack"/>
      <w:bookmarkEnd w:id="1"/>
      <w:r>
        <w:t xml:space="preserve"> pravidla stanovují podmínky</w:t>
      </w:r>
      <w:r w:rsidR="0091269D" w:rsidRPr="0091269D">
        <w:t xml:space="preserve"> </w:t>
      </w:r>
      <w:r>
        <w:t xml:space="preserve">poskytnutí podpory </w:t>
      </w:r>
      <w:r w:rsidRPr="0080784A">
        <w:t>občanům města Příbora postiženým povodněmi po 12.09.2024 v rámci výzvy „Pomoc domácnostem po povodni 2024“ vyhlášené Ministerstvem životního prostředí České republiky dne 03.10.2024</w:t>
      </w:r>
      <w:r>
        <w:t>.</w:t>
      </w:r>
    </w:p>
    <w:p w14:paraId="7142A481" w14:textId="43EF2CD7" w:rsidR="00B16DE6" w:rsidRPr="00B16DE6" w:rsidRDefault="00910824" w:rsidP="00041E19">
      <w:pPr>
        <w:pStyle w:val="Nadpis1"/>
      </w:pPr>
      <w:r>
        <w:br/>
      </w:r>
      <w:bookmarkStart w:id="2" w:name="_Toc189121476"/>
      <w:r w:rsidR="0080784A">
        <w:t>Důvod a účel finanční podpory</w:t>
      </w:r>
      <w:bookmarkEnd w:id="2"/>
    </w:p>
    <w:p w14:paraId="02CBF7A6" w14:textId="13051009" w:rsidR="0080784A" w:rsidRPr="00330739" w:rsidRDefault="0080784A" w:rsidP="008843E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 xml:space="preserve">Město Příbor (dále jen „město“) patří k městům a obcím, </w:t>
      </w:r>
      <w:r w:rsidR="00D60799">
        <w:rPr>
          <w:rFonts w:cstheme="minorHAnsi"/>
        </w:rPr>
        <w:t>které byly postiženy povodní po </w:t>
      </w:r>
      <w:r w:rsidRPr="00330739">
        <w:rPr>
          <w:rFonts w:cstheme="minorHAnsi"/>
        </w:rPr>
        <w:t>12.09.2024 v souvislosti s tlakovou níží Boris. V rámci zajištění pomoci domácnostem postiženým povodněmi má město zájem poskytnout finanční podporu na základě těchto pravidel.</w:t>
      </w:r>
    </w:p>
    <w:p w14:paraId="65E83EBE" w14:textId="77777777" w:rsidR="0080784A" w:rsidRPr="00330739" w:rsidRDefault="0080784A" w:rsidP="008843E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>Tato pravidla jako základní kritérium zohledňují míru postižení dané domácnosti.</w:t>
      </w:r>
    </w:p>
    <w:p w14:paraId="19BBFC02" w14:textId="77777777" w:rsidR="0080784A" w:rsidRPr="00330739" w:rsidRDefault="0080784A" w:rsidP="008843E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>Poskytnutí finanční podpory se realizuje v souladu se zákonem č. 128/2000 Sb., o obcích (obecní zřízení), ve znění pozdějších předpisů.</w:t>
      </w:r>
    </w:p>
    <w:p w14:paraId="5BBFA24E" w14:textId="77777777" w:rsidR="0080784A" w:rsidRPr="00330739" w:rsidRDefault="0080784A" w:rsidP="008843E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>Na poskytnutí finanční podpory není právní nárok.</w:t>
      </w:r>
    </w:p>
    <w:p w14:paraId="61C27269" w14:textId="77777777" w:rsidR="0080784A" w:rsidRPr="00330739" w:rsidRDefault="0080784A" w:rsidP="008843E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>Podporu není možné poskytnout domácnostem, jejichž nemovitost (objekt, který vlastní nebo zde bydlí na základě nájemního vztahu) nebyla zasažena povodní, nebo byla poškozena před 12.09.2024.</w:t>
      </w:r>
    </w:p>
    <w:p w14:paraId="7BAC0B72" w14:textId="631D4955" w:rsidR="0080784A" w:rsidRPr="00330739" w:rsidRDefault="0080784A" w:rsidP="008843EE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lastRenderedPageBreak/>
        <w:t>Celková výše finanční podpory je limitována objemem finančních prostředků, které jsou městu přiděleny Ministerstvem životního prostředí prostřednictvím Státního fondu životního prostředí na základě výzvy k předkládání ž</w:t>
      </w:r>
      <w:r w:rsidR="00D60799">
        <w:rPr>
          <w:rFonts w:cstheme="minorHAnsi"/>
        </w:rPr>
        <w:t>ádostí o poskytnutí podpory dle </w:t>
      </w:r>
      <w:r w:rsidRPr="00330739">
        <w:rPr>
          <w:rFonts w:cstheme="minorHAnsi"/>
        </w:rPr>
        <w:t>podmínek zákona ČNR č. 388/1991 Sb., o Státním fondu životního prostředí České republiky, ve znění pozdějších předpisů.</w:t>
      </w:r>
    </w:p>
    <w:p w14:paraId="2972EE46" w14:textId="73774428" w:rsidR="00B16DE6" w:rsidRDefault="00910824" w:rsidP="00426AEC">
      <w:pPr>
        <w:pStyle w:val="Nadpis1"/>
      </w:pPr>
      <w:r>
        <w:br/>
      </w:r>
      <w:bookmarkStart w:id="3" w:name="_Toc189121477"/>
      <w:r w:rsidR="0080784A">
        <w:t>Vymezení pojmů</w:t>
      </w:r>
      <w:bookmarkEnd w:id="3"/>
    </w:p>
    <w:p w14:paraId="417EA792" w14:textId="137D80E1" w:rsidR="0080784A" w:rsidRPr="00330739" w:rsidRDefault="0080784A" w:rsidP="008843E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rPr>
          <w:rFonts w:cstheme="minorHAnsi"/>
        </w:rPr>
      </w:pPr>
      <w:r w:rsidRPr="00330739">
        <w:rPr>
          <w:rFonts w:cstheme="minorHAnsi"/>
        </w:rPr>
        <w:t>Finanční podporou se rozumí nevratný finanční př</w:t>
      </w:r>
      <w:r w:rsidR="00D60799">
        <w:rPr>
          <w:rFonts w:cstheme="minorHAnsi"/>
        </w:rPr>
        <w:t>íspěvek poskytnutý žadatelům za </w:t>
      </w:r>
      <w:r w:rsidRPr="00330739">
        <w:rPr>
          <w:rFonts w:cstheme="minorHAnsi"/>
        </w:rPr>
        <w:t>podmínek uvedených v těchto pravidlech.</w:t>
      </w:r>
    </w:p>
    <w:p w14:paraId="32EF5B64" w14:textId="77777777" w:rsidR="0080784A" w:rsidRPr="00330739" w:rsidRDefault="0080784A" w:rsidP="008843E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rPr>
          <w:rFonts w:cstheme="minorHAnsi"/>
        </w:rPr>
      </w:pPr>
      <w:r w:rsidRPr="00330739">
        <w:rPr>
          <w:rFonts w:cstheme="minorHAnsi"/>
        </w:rPr>
        <w:t>Žadatelem se rozumí fyzická osoba, která v souladu s těmito pravidly o finanční podporu požádá.</w:t>
      </w:r>
    </w:p>
    <w:p w14:paraId="2391CC85" w14:textId="77777777" w:rsidR="0080784A" w:rsidRPr="00330739" w:rsidRDefault="0080784A" w:rsidP="008843E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rPr>
          <w:rFonts w:cstheme="minorHAnsi"/>
        </w:rPr>
      </w:pPr>
      <w:r w:rsidRPr="00330739">
        <w:rPr>
          <w:rFonts w:cstheme="minorHAnsi"/>
        </w:rPr>
        <w:t>Oprávněným žadatelem se rozumí žadatel, který splňuje všechny podmínky stanovené těmito pravidly.</w:t>
      </w:r>
    </w:p>
    <w:p w14:paraId="2B5FBED8" w14:textId="77777777" w:rsidR="0080784A" w:rsidRPr="00330739" w:rsidRDefault="0080784A" w:rsidP="008843E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rPr>
          <w:rFonts w:cstheme="minorHAnsi"/>
        </w:rPr>
      </w:pPr>
      <w:r w:rsidRPr="00330739">
        <w:rPr>
          <w:rFonts w:cstheme="minorHAnsi"/>
        </w:rPr>
        <w:t>Příjemcem finanční podpory se rozumí žadatel, kterému bylo schváleno poskytnutí finanční podpory.</w:t>
      </w:r>
    </w:p>
    <w:p w14:paraId="1329249C" w14:textId="0D6F409D" w:rsidR="0080784A" w:rsidRPr="00330739" w:rsidRDefault="0080784A" w:rsidP="008843E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rPr>
          <w:rFonts w:cstheme="minorHAnsi"/>
        </w:rPr>
      </w:pPr>
      <w:r w:rsidRPr="00330739">
        <w:rPr>
          <w:rFonts w:cstheme="minorHAnsi"/>
        </w:rPr>
        <w:t xml:space="preserve">Postižená domácnost je pro účely těchto pravidel jednotlivec nebo společenství fyzických osob, které spolu trvale žijí a společně hradí náklady na své potřeby, a kterým byla způsobena </w:t>
      </w:r>
      <w:r w:rsidR="00AE225A">
        <w:rPr>
          <w:rFonts w:cstheme="minorHAnsi"/>
        </w:rPr>
        <w:t>škoda na majetku povodní po 12.09.</w:t>
      </w:r>
      <w:r w:rsidRPr="00330739">
        <w:rPr>
          <w:rFonts w:cstheme="minorHAnsi"/>
        </w:rPr>
        <w:t>2024 v souvislosti s tlakovou níží Boris.</w:t>
      </w:r>
    </w:p>
    <w:p w14:paraId="2C6E3ABB" w14:textId="77777777" w:rsidR="0080784A" w:rsidRPr="00330739" w:rsidRDefault="0080784A" w:rsidP="008843E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rPr>
          <w:rFonts w:cstheme="minorHAnsi"/>
        </w:rPr>
      </w:pPr>
      <w:r w:rsidRPr="00330739">
        <w:rPr>
          <w:rFonts w:cstheme="minorHAnsi"/>
        </w:rPr>
        <w:t>Za nezbytné základní vybavení domácnosti se považuje zejména základní vybavení obytných místností domácnosti (podlahové krytiny, nábytek, elektronika, obvyklé zařízení a vybavení domácnosti). Za nezbytné základní vybavení domácnosti se nepovažují věci osobní spotřeby a vybavení pro sport a volný čas.</w:t>
      </w:r>
    </w:p>
    <w:p w14:paraId="1BCFEB68" w14:textId="77777777" w:rsidR="0080784A" w:rsidRPr="00330739" w:rsidRDefault="0080784A" w:rsidP="008843E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rPr>
          <w:rFonts w:cstheme="minorHAnsi"/>
        </w:rPr>
      </w:pPr>
      <w:r w:rsidRPr="00330739">
        <w:rPr>
          <w:rFonts w:cstheme="minorHAnsi"/>
        </w:rPr>
        <w:t>Za technické zázemí nezbytné pro chod domácnosti se pro účel pravidel považuje funkční a připojená technologie (vytápění či chlazení, ohřev vody, vodárna, čistička odpadních vod nebo jiné nezbytné technologie).</w:t>
      </w:r>
    </w:p>
    <w:p w14:paraId="1286B599" w14:textId="6AD8D28B" w:rsidR="0080784A" w:rsidRPr="00330739" w:rsidRDefault="0080784A" w:rsidP="008843E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120" w:after="160"/>
        <w:ind w:left="357" w:hanging="357"/>
        <w:rPr>
          <w:rFonts w:cstheme="minorHAnsi"/>
        </w:rPr>
      </w:pPr>
      <w:r w:rsidRPr="00330739">
        <w:rPr>
          <w:rFonts w:cstheme="minorHAnsi"/>
        </w:rPr>
        <w:t>Za zatopený sklep se rovněž považuje přízemní neobý</w:t>
      </w:r>
      <w:r w:rsidR="00D60799">
        <w:rPr>
          <w:rFonts w:cstheme="minorHAnsi"/>
        </w:rPr>
        <w:t>vané podlaží rodinného domu. Za </w:t>
      </w:r>
      <w:r w:rsidRPr="00330739">
        <w:rPr>
          <w:rFonts w:cstheme="minorHAnsi"/>
        </w:rPr>
        <w:t>sklep se nepovažuje sklepní kóje u bytových domů.</w:t>
      </w:r>
    </w:p>
    <w:p w14:paraId="7A287DD1" w14:textId="059306BC" w:rsidR="00ED4AE3" w:rsidRDefault="00910824" w:rsidP="009C5997">
      <w:pPr>
        <w:pStyle w:val="Nadpis1"/>
      </w:pPr>
      <w:r>
        <w:br/>
      </w:r>
      <w:bookmarkStart w:id="4" w:name="_Toc189121478"/>
      <w:r w:rsidR="0080784A">
        <w:t>Podmínky pro poskytnutí finanční podpory</w:t>
      </w:r>
      <w:bookmarkEnd w:id="4"/>
    </w:p>
    <w:p w14:paraId="74761A5C" w14:textId="77777777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Za postiženou domácnost podává žádost pouze jedna fyzická osoba.</w:t>
      </w:r>
    </w:p>
    <w:p w14:paraId="71DE20DF" w14:textId="77777777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Podpora bude poskytnuta jedné fyzické osobě dané domácnosti (příjemce finanční podpory).</w:t>
      </w:r>
    </w:p>
    <w:p w14:paraId="71A0091D" w14:textId="77777777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Podporovány jsou následující výdaje:</w:t>
      </w:r>
    </w:p>
    <w:p w14:paraId="238A925A" w14:textId="77777777" w:rsidR="0080784A" w:rsidRPr="00330739" w:rsidRDefault="0080784A" w:rsidP="008843EE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pro domácnost v domě nebo bytě se zatopenou obytnou místností/místnostmi:</w:t>
      </w:r>
    </w:p>
    <w:p w14:paraId="161D4111" w14:textId="77777777" w:rsidR="0080784A" w:rsidRPr="00330739" w:rsidRDefault="0080784A" w:rsidP="008843EE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výdaje na pokrytí nákladů vzniklých v souvislosti s odstraňováním povodňových škod na majetku,</w:t>
      </w:r>
    </w:p>
    <w:p w14:paraId="7B55EFC1" w14:textId="77777777" w:rsidR="0080784A" w:rsidRPr="00330739" w:rsidRDefault="0080784A" w:rsidP="008843EE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lastRenderedPageBreak/>
        <w:t>výdaje na pokrytí nezbytných nákladů zvýšených v souvislosti s odstraňováním povodňových škod, jako jsou platby za energie,</w:t>
      </w:r>
    </w:p>
    <w:p w14:paraId="2ADBC35D" w14:textId="77777777" w:rsidR="0080784A" w:rsidRPr="00330739" w:rsidRDefault="0080784A" w:rsidP="008843EE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výdaje na pořízení nebo opravu nezbytného základního vybavení domácnosti,</w:t>
      </w:r>
    </w:p>
    <w:p w14:paraId="4BE29130" w14:textId="77777777" w:rsidR="0080784A" w:rsidRPr="00330739" w:rsidRDefault="0080784A" w:rsidP="008843EE">
      <w:pPr>
        <w:pStyle w:val="Odstavecseseznamem"/>
        <w:numPr>
          <w:ilvl w:val="1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pro domácnosti v domě se zatopeným sklepem, pro ostatní nezkolaudované, ale obývané stavby nebo stavby pro rodinnou rekreaci s celoročním bydlením:</w:t>
      </w:r>
    </w:p>
    <w:p w14:paraId="4DE8C670" w14:textId="77777777" w:rsidR="0080784A" w:rsidRPr="00330739" w:rsidRDefault="0080784A" w:rsidP="008843EE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výdaje na pokrytí nákladů vzniklých v souvislosti s odstraňováním povodňových škod na majetku,</w:t>
      </w:r>
    </w:p>
    <w:p w14:paraId="76119505" w14:textId="77777777" w:rsidR="0080784A" w:rsidRPr="00330739" w:rsidRDefault="0080784A" w:rsidP="008843EE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výdaje na pokrytí nezbytných nákladů zvýšených v souvislosti s odstraňováním povodňových škod, jako jsou platby za energie,</w:t>
      </w:r>
    </w:p>
    <w:p w14:paraId="1B8ED4F5" w14:textId="6E78B7A7" w:rsidR="0080784A" w:rsidRPr="00330739" w:rsidRDefault="0080784A" w:rsidP="008843EE">
      <w:pPr>
        <w:pStyle w:val="Odstavecseseznamem"/>
        <w:numPr>
          <w:ilvl w:val="2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výdaje na pořízení nebo opravu te</w:t>
      </w:r>
      <w:r w:rsidR="00D60799">
        <w:rPr>
          <w:rFonts w:cstheme="minorHAnsi"/>
        </w:rPr>
        <w:t>chnického zázemí nezbytného pro </w:t>
      </w:r>
      <w:r w:rsidRPr="00330739">
        <w:rPr>
          <w:rFonts w:cstheme="minorHAnsi"/>
        </w:rPr>
        <w:t>chod domácnosti.</w:t>
      </w:r>
    </w:p>
    <w:p w14:paraId="518C8375" w14:textId="77777777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Podporu nelze použít na výdaje sloužící k podnikatelské činnosti.</w:t>
      </w:r>
    </w:p>
    <w:p w14:paraId="169C1226" w14:textId="77777777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Podporu nelze čerpat na poškození pozemků, hospodářských objektů, sklepních kójí, oplocení, venkovních posezení, zahradního nábytku, bazénů apod.</w:t>
      </w:r>
    </w:p>
    <w:p w14:paraId="7C70EBD5" w14:textId="77777777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Poskytnutí této podpory není omezeno případným vyplaceným pojistným plněním, přičemž ale není přípustná dvojí úhrada stejného výdaje (tzv. dvojí financování).</w:t>
      </w:r>
    </w:p>
    <w:p w14:paraId="131434C8" w14:textId="77777777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V případě, že se nejedná o vlastnické bydlení, jsou podporovány pouze škody prokazatelně vzniklé poškozené domácnosti, nikoli vlastníkovi objektu.</w:t>
      </w:r>
    </w:p>
    <w:p w14:paraId="09398D70" w14:textId="764EE9A9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Žadatel o finanční podporu v podané žádosti čestně prohlásí, že všechny údaje jsou pravdivé, úplné a odpovídají skutečnému rozsahu škod, které byly jeho domácnosti způsobeny povodní. Toto prohlášení žadatel činí s vědomím toho, že poskytnutí nepravdivých nebo neúplných údajů, které zkreslují skutečný stav, rozsah poškození nebo mohou mít vliv na určení vzniku nároku na podpo</w:t>
      </w:r>
      <w:r w:rsidR="00D60799">
        <w:rPr>
          <w:rFonts w:cstheme="minorHAnsi"/>
        </w:rPr>
        <w:t>ru či výši finanční podpory, je </w:t>
      </w:r>
      <w:r w:rsidRPr="00330739">
        <w:rPr>
          <w:rFonts w:cstheme="minorHAnsi"/>
        </w:rPr>
        <w:t>protiprávním jednáním.</w:t>
      </w:r>
    </w:p>
    <w:p w14:paraId="7FF3BEAD" w14:textId="77777777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>Žadatel o finanční podporu podáním žádosti souhlasí s tím, že město bude oprávněno provést kontrolu využití finanční podpory k účelům, ke kterým byla poskytnuta (viz odst. 3 tohoto článku). Žadatel se zaváže poskytnout veškerou součinnost nezbytnou k řádnému provedení kontroly.</w:t>
      </w:r>
    </w:p>
    <w:p w14:paraId="44E6ED81" w14:textId="77777777" w:rsidR="0080784A" w:rsidRPr="00330739" w:rsidRDefault="0080784A" w:rsidP="008843E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rPr>
          <w:rFonts w:cstheme="minorHAnsi"/>
        </w:rPr>
      </w:pPr>
      <w:r w:rsidRPr="00330739">
        <w:rPr>
          <w:rFonts w:cstheme="minorHAnsi"/>
        </w:rPr>
        <w:t xml:space="preserve">Žadatel o podporu souhlasí s tím, že osobní údaje v této žádosti bude město jako správce osobních údajů zpracovávat pro účely administrace a vyhodnocení žádosti </w:t>
      </w:r>
      <w:r w:rsidRPr="00330739">
        <w:rPr>
          <w:rFonts w:cstheme="minorHAnsi"/>
        </w:rPr>
        <w:br/>
        <w:t>o poskytnutí podpory ve smyslu zákona č. 110/2019 Sb., zákon o zpracování osobních údajů, ve znění pozdějších předpisů.</w:t>
      </w:r>
    </w:p>
    <w:p w14:paraId="32BA872E" w14:textId="3D8112B2" w:rsidR="00C56A00" w:rsidRPr="00C56A00" w:rsidRDefault="00910824" w:rsidP="003F0379">
      <w:pPr>
        <w:pStyle w:val="Nadpis1"/>
      </w:pPr>
      <w:r>
        <w:br/>
      </w:r>
      <w:bookmarkStart w:id="5" w:name="_Toc189121479"/>
      <w:r w:rsidR="007601FB">
        <w:t>Výše finanční podpory</w:t>
      </w:r>
      <w:bookmarkEnd w:id="5"/>
    </w:p>
    <w:p w14:paraId="1BB71441" w14:textId="459BAF7A" w:rsidR="007601FB" w:rsidRPr="00330739" w:rsidRDefault="007601FB" w:rsidP="008843E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 xml:space="preserve">Pro domácnost v domě nebo bytě se zatopenou obytnou místností/místnostmi bude finanční podpora stanovena ve výši skutečných výdajů vynaložených v souladu s ust. čl. </w:t>
      </w:r>
      <w:r w:rsidR="00D60799">
        <w:rPr>
          <w:rFonts w:cstheme="minorHAnsi"/>
        </w:rPr>
        <w:t>IV</w:t>
      </w:r>
      <w:r w:rsidRPr="00330739">
        <w:rPr>
          <w:rFonts w:cstheme="minorHAnsi"/>
        </w:rPr>
        <w:t>. odst. 3 písm. a), maximálně však ve výši 65 000 Kč.</w:t>
      </w:r>
    </w:p>
    <w:p w14:paraId="5990B011" w14:textId="4FB9BAF6" w:rsidR="007601FB" w:rsidRPr="00330739" w:rsidRDefault="007601FB" w:rsidP="008843E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lastRenderedPageBreak/>
        <w:t xml:space="preserve">Pro domácnosti v domě se zatopeným sklepem, pro ostatní nezkolaudované, ale obývané stavby nebo stavby pro rodinnou rekreaci s celoročním bydlením bude finanční podpora stanovena ve výši skutečných výdajů vynaložených v souladu s ust. čl. </w:t>
      </w:r>
      <w:r w:rsidR="00D60799">
        <w:rPr>
          <w:rFonts w:cstheme="minorHAnsi"/>
        </w:rPr>
        <w:t>IV</w:t>
      </w:r>
      <w:r w:rsidRPr="00330739">
        <w:rPr>
          <w:rFonts w:cstheme="minorHAnsi"/>
        </w:rPr>
        <w:t>. odst. 3 písm. b), m</w:t>
      </w:r>
      <w:r w:rsidR="00AE225A">
        <w:rPr>
          <w:rFonts w:cstheme="minorHAnsi"/>
        </w:rPr>
        <w:t>aximálně však ve výši 20 000 Kč.</w:t>
      </w:r>
    </w:p>
    <w:p w14:paraId="1EBF6DB2" w14:textId="2CBB76A5" w:rsidR="007601FB" w:rsidRPr="00330739" w:rsidRDefault="007601FB" w:rsidP="008843E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 xml:space="preserve">V případě, že podporované výdaje nedosáhly u domácností v domě se zatopenou obytnou místností/místnostmi 65 000 Kč anebo u domácností v </w:t>
      </w:r>
      <w:r w:rsidR="00D60799">
        <w:rPr>
          <w:rFonts w:cstheme="minorHAnsi"/>
        </w:rPr>
        <w:t>domě se zatopeným sklepem, nebo </w:t>
      </w:r>
      <w:r w:rsidRPr="00330739">
        <w:rPr>
          <w:rFonts w:cstheme="minorHAnsi"/>
        </w:rPr>
        <w:t>nezkolaudovaných, ale obývaných staveb, nebo</w:t>
      </w:r>
      <w:r w:rsidR="00D60799">
        <w:rPr>
          <w:rFonts w:cstheme="minorHAnsi"/>
        </w:rPr>
        <w:t xml:space="preserve"> staveb pro rodinnou rekreaci s </w:t>
      </w:r>
      <w:r w:rsidRPr="00330739">
        <w:rPr>
          <w:rFonts w:cstheme="minorHAnsi"/>
        </w:rPr>
        <w:t>celoročním bydlením 20 000 Kč, bude poskytnuta finanční podpora dle skutečných výdajů uvedených v žádosti.</w:t>
      </w:r>
    </w:p>
    <w:p w14:paraId="30E00042" w14:textId="072D5A51" w:rsidR="007601FB" w:rsidRPr="00330739" w:rsidRDefault="007601FB" w:rsidP="008843E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 xml:space="preserve">V případě, že po rozdělení finančních prostředků na základě žádostí nebudou vyčerpány všechny prostředky, které byly městu přiděleny Ministerstvem životního prostředí, bude tato částka přerozdělena domácnostem, které měly zatopenou zároveň obytnou místnost i sklep. </w:t>
      </w:r>
      <w:r w:rsidRPr="007601FB">
        <w:rPr>
          <w:rFonts w:cstheme="minorHAnsi"/>
        </w:rPr>
        <w:t>Celková maximální výše podpory na jednu domácnost nesmí překročit 90 000 Kč.</w:t>
      </w:r>
    </w:p>
    <w:p w14:paraId="40ABD625" w14:textId="2B02E50E" w:rsidR="00883F33" w:rsidRDefault="00910824" w:rsidP="004D0884">
      <w:pPr>
        <w:pStyle w:val="Nadpis1"/>
      </w:pPr>
      <w:r>
        <w:br/>
      </w:r>
      <w:bookmarkStart w:id="6" w:name="_Toc189121480"/>
      <w:r w:rsidR="007601FB">
        <w:t>Žádost o finanční podporu</w:t>
      </w:r>
      <w:bookmarkEnd w:id="6"/>
    </w:p>
    <w:p w14:paraId="291A1ADC" w14:textId="6C2291FB" w:rsidR="007601FB" w:rsidRPr="00330739" w:rsidRDefault="007601FB" w:rsidP="008843EE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0"/>
        <w:ind w:left="357" w:hanging="357"/>
        <w:rPr>
          <w:rFonts w:cstheme="minorHAnsi"/>
        </w:rPr>
      </w:pPr>
      <w:r w:rsidRPr="00330739">
        <w:rPr>
          <w:rFonts w:cstheme="minorHAnsi"/>
        </w:rPr>
        <w:t>Vyplněn</w:t>
      </w:r>
      <w:r w:rsidR="0085484F">
        <w:rPr>
          <w:rFonts w:cstheme="minorHAnsi"/>
        </w:rPr>
        <w:t>ou</w:t>
      </w:r>
      <w:r w:rsidRPr="00330739">
        <w:rPr>
          <w:rFonts w:cstheme="minorHAnsi"/>
        </w:rPr>
        <w:t xml:space="preserve"> žádost o finanční podporu </w:t>
      </w:r>
      <w:r w:rsidR="0085484F">
        <w:rPr>
          <w:rFonts w:cstheme="minorHAnsi"/>
        </w:rPr>
        <w:t xml:space="preserve">bylo </w:t>
      </w:r>
      <w:r w:rsidR="00955B69">
        <w:rPr>
          <w:rFonts w:cstheme="minorHAnsi"/>
        </w:rPr>
        <w:t>možno</w:t>
      </w:r>
      <w:r w:rsidR="0085484F">
        <w:rPr>
          <w:rFonts w:cstheme="minorHAnsi"/>
        </w:rPr>
        <w:t xml:space="preserve"> podat</w:t>
      </w:r>
      <w:r w:rsidR="00D60799">
        <w:rPr>
          <w:rFonts w:cstheme="minorHAnsi"/>
        </w:rPr>
        <w:t xml:space="preserve"> v písemné podobě na </w:t>
      </w:r>
      <w:r w:rsidRPr="00330739">
        <w:rPr>
          <w:rFonts w:cstheme="minorHAnsi"/>
        </w:rPr>
        <w:t>stanoveném formuláři, a to osobně na podatelně Městského úřadu Příbor nebo doruč</w:t>
      </w:r>
      <w:r w:rsidR="0085484F">
        <w:rPr>
          <w:rFonts w:cstheme="minorHAnsi"/>
        </w:rPr>
        <w:t>it</w:t>
      </w:r>
      <w:r w:rsidRPr="00330739">
        <w:rPr>
          <w:rFonts w:cstheme="minorHAnsi"/>
        </w:rPr>
        <w:t xml:space="preserve"> na adresu Městského úřadu Příbor poštou nebo v elektronické podobě prostřednictvím datové schránky žadatele či e-mailem.</w:t>
      </w:r>
    </w:p>
    <w:p w14:paraId="69853C6A" w14:textId="77777777" w:rsidR="007601FB" w:rsidRDefault="007601FB" w:rsidP="008843EE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160"/>
        <w:ind w:left="357" w:hanging="357"/>
        <w:rPr>
          <w:rFonts w:cstheme="minorHAnsi"/>
        </w:rPr>
      </w:pPr>
      <w:r w:rsidRPr="00330739">
        <w:rPr>
          <w:rFonts w:cstheme="minorHAnsi"/>
        </w:rPr>
        <w:t>Lhůta pro podávání žádostí o finanční podporu byla stanovena do 15.01.2025.</w:t>
      </w:r>
    </w:p>
    <w:p w14:paraId="45E347B3" w14:textId="7B637F2D" w:rsidR="007601FB" w:rsidRDefault="007601FB" w:rsidP="007601FB">
      <w:pPr>
        <w:pStyle w:val="Nadpis1"/>
      </w:pPr>
      <w:r>
        <w:br/>
      </w:r>
      <w:bookmarkStart w:id="7" w:name="_Toc189121481"/>
      <w:r>
        <w:t>Rozhodování o finanční podpoře</w:t>
      </w:r>
      <w:bookmarkEnd w:id="7"/>
    </w:p>
    <w:p w14:paraId="3312DC28" w14:textId="77777777" w:rsidR="007601FB" w:rsidRPr="00330739" w:rsidRDefault="007601FB" w:rsidP="008843E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>Evidencí žádostí o finanční podporu a jejím vyhodnocením podle těchto pravidel je pověřen Městský úřad Příbor, který je oprávněn v případě zjištění formálních nedostatků nebo technických nejasností vyžádat si další doplňující údaje.</w:t>
      </w:r>
    </w:p>
    <w:p w14:paraId="7594B947" w14:textId="606DF1C3" w:rsidR="007601FB" w:rsidRPr="00330739" w:rsidRDefault="007601FB" w:rsidP="008843E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>Podaná žádost bude evidována a vyhodnocena podle podmínek těchto pravidel. V případě neúplné, nedostatečně vyplněné nebo nepodepsané</w:t>
      </w:r>
      <w:r w:rsidR="00D60799">
        <w:rPr>
          <w:rFonts w:cstheme="minorHAnsi"/>
        </w:rPr>
        <w:t xml:space="preserve"> žádosti, bude žadatel vyzván k </w:t>
      </w:r>
      <w:r w:rsidRPr="00330739">
        <w:rPr>
          <w:rFonts w:cstheme="minorHAnsi"/>
        </w:rPr>
        <w:t xml:space="preserve">doplnění žádosti. Nedoplní-li žadatel žádost ve stanovené lhůtě nebo nebude-li doplnění dostatečné, nebude finanční podpora poskytnuta. </w:t>
      </w:r>
    </w:p>
    <w:p w14:paraId="6594D552" w14:textId="13C6159A" w:rsidR="007601FB" w:rsidRPr="00330739" w:rsidRDefault="007601FB" w:rsidP="008843E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>O poskytnutí finanční podpory formou finančního daru</w:t>
      </w:r>
      <w:r w:rsidR="00D60799">
        <w:rPr>
          <w:rFonts w:cstheme="minorHAnsi"/>
        </w:rPr>
        <w:t xml:space="preserve"> rozhodne Rada města Příbora. S </w:t>
      </w:r>
      <w:r w:rsidRPr="00330739">
        <w:rPr>
          <w:rFonts w:cstheme="minorHAnsi"/>
        </w:rPr>
        <w:t>příjemcem podpory bude uzavřena písemná darovací smlouva.</w:t>
      </w:r>
    </w:p>
    <w:p w14:paraId="19C8A6CC" w14:textId="77777777" w:rsidR="007601FB" w:rsidRDefault="007601FB" w:rsidP="008843EE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357" w:hanging="357"/>
        <w:rPr>
          <w:rFonts w:cstheme="minorHAnsi"/>
        </w:rPr>
      </w:pPr>
      <w:r w:rsidRPr="00330739">
        <w:rPr>
          <w:rFonts w:cstheme="minorHAnsi"/>
        </w:rPr>
        <w:t>Částka ve výši podpory bude příjemci zaslána bankovním převodem na účet uvedený žadatelem, ve výjimečných případech poštovní poukázkou na doručovací adresu uvedenou v žádosti.</w:t>
      </w:r>
    </w:p>
    <w:p w14:paraId="3B577735" w14:textId="414D54C8" w:rsidR="007601FB" w:rsidRDefault="007601FB" w:rsidP="007601FB">
      <w:pPr>
        <w:pStyle w:val="Nadpis1"/>
      </w:pPr>
      <w:r>
        <w:lastRenderedPageBreak/>
        <w:br/>
      </w:r>
      <w:bookmarkStart w:id="8" w:name="_Toc189121482"/>
      <w:r>
        <w:t>Závěrečná ustanovení</w:t>
      </w:r>
      <w:bookmarkEnd w:id="8"/>
    </w:p>
    <w:p w14:paraId="4EBA5A04" w14:textId="77777777" w:rsidR="007601FB" w:rsidRPr="00330739" w:rsidRDefault="007601FB" w:rsidP="008843E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20"/>
        <w:ind w:left="357" w:hanging="357"/>
        <w:contextualSpacing/>
        <w:rPr>
          <w:rFonts w:cstheme="minorHAnsi"/>
        </w:rPr>
      </w:pPr>
      <w:r w:rsidRPr="00330739">
        <w:rPr>
          <w:rFonts w:cstheme="minorHAnsi"/>
        </w:rPr>
        <w:t xml:space="preserve">Podmínky, které nejsou upraveny v rámci těchto pravidel, se řídí aktuálním znění výzvy „Pomoc domácnostem po povodni 2024“. </w:t>
      </w:r>
    </w:p>
    <w:p w14:paraId="5E1C31BB" w14:textId="77777777" w:rsidR="007601FB" w:rsidRPr="00330739" w:rsidRDefault="007601FB" w:rsidP="008843E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20"/>
        <w:ind w:left="357" w:hanging="357"/>
        <w:contextualSpacing/>
        <w:rPr>
          <w:rFonts w:cstheme="minorHAnsi"/>
        </w:rPr>
      </w:pPr>
      <w:r w:rsidRPr="00330739">
        <w:rPr>
          <w:rFonts w:cstheme="minorHAnsi"/>
        </w:rPr>
        <w:t>Tato pravidla byla schválena usnesením Zastupitelstva města Příbora č. …/../2025 ze dne 12.02.2025 a nabývají účinnosti dnem 13.02.2025.</w:t>
      </w:r>
    </w:p>
    <w:p w14:paraId="7AACAA72" w14:textId="77777777" w:rsidR="007601FB" w:rsidRPr="003F5E3E" w:rsidRDefault="007601FB" w:rsidP="008843E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120"/>
        <w:ind w:left="357" w:hanging="357"/>
        <w:contextualSpacing/>
        <w:rPr>
          <w:rFonts w:cstheme="minorHAnsi"/>
        </w:rPr>
      </w:pPr>
      <w:r w:rsidRPr="00330739">
        <w:rPr>
          <w:rFonts w:cstheme="minorHAnsi"/>
        </w:rPr>
        <w:t>Pravidla budou</w:t>
      </w:r>
      <w:r w:rsidRPr="003F5E3E">
        <w:rPr>
          <w:rFonts w:cstheme="minorHAnsi"/>
        </w:rPr>
        <w:t xml:space="preserve"> zveřejněna na úřední desce města Příbora od 13.02.2025.</w:t>
      </w:r>
    </w:p>
    <w:p w14:paraId="39062EB2" w14:textId="77777777" w:rsidR="007601FB" w:rsidRDefault="007601FB" w:rsidP="009D357C">
      <w:pPr>
        <w:spacing w:before="360" w:after="840"/>
        <w:rPr>
          <w:rFonts w:eastAsia="Calibri"/>
        </w:rPr>
      </w:pPr>
    </w:p>
    <w:p w14:paraId="3FD786E8" w14:textId="0E298FCD" w:rsidR="007B49C0" w:rsidRPr="007B49C0" w:rsidRDefault="0017600C" w:rsidP="009D357C">
      <w:pPr>
        <w:spacing w:before="360" w:after="840"/>
        <w:rPr>
          <w:rFonts w:eastAsia="Calibri"/>
        </w:rPr>
      </w:pPr>
      <w:r>
        <w:rPr>
          <w:rFonts w:eastAsia="Calibri"/>
        </w:rPr>
        <w:t>Př</w:t>
      </w:r>
      <w:r w:rsidR="00910824">
        <w:rPr>
          <w:rFonts w:eastAsia="Calibri"/>
        </w:rPr>
        <w:t>í</w:t>
      </w:r>
      <w:r>
        <w:rPr>
          <w:rFonts w:eastAsia="Calibri"/>
        </w:rPr>
        <w:t>bor</w:t>
      </w:r>
      <w:r w:rsidR="00C61557">
        <w:rPr>
          <w:rFonts w:eastAsia="Calibri"/>
        </w:rPr>
        <w:t xml:space="preserve"> </w:t>
      </w:r>
      <w:r w:rsidR="007601FB">
        <w:rPr>
          <w:rFonts w:eastAsia="Calibri"/>
        </w:rPr>
        <w:t>13.02.2025</w:t>
      </w:r>
    </w:p>
    <w:p w14:paraId="2C40D28D" w14:textId="77777777" w:rsidR="004710FE" w:rsidRDefault="004710FE" w:rsidP="00FB165D">
      <w:pPr>
        <w:pStyle w:val="Bezmezer"/>
      </w:pPr>
      <w:r>
        <w:t>……………………………………………</w:t>
      </w:r>
    </w:p>
    <w:p w14:paraId="34522286" w14:textId="634C4147" w:rsidR="00DA2F55" w:rsidRDefault="007601FB" w:rsidP="007601FB">
      <w:pPr>
        <w:pStyle w:val="Bezmezer"/>
      </w:pPr>
      <w:r>
        <w:t>Ing. a</w:t>
      </w:r>
      <w:r w:rsidR="004D3434" w:rsidRPr="00EB6731">
        <w:rPr>
          <w:rFonts w:eastAsia="Calibri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ED77C" wp14:editId="618849FB">
                <wp:simplePos x="0" y="0"/>
                <wp:positionH relativeFrom="column">
                  <wp:posOffset>84455</wp:posOffset>
                </wp:positionH>
                <wp:positionV relativeFrom="paragraph">
                  <wp:posOffset>-5180329</wp:posOffset>
                </wp:positionV>
                <wp:extent cx="1857375" cy="281940"/>
                <wp:effectExtent l="0" t="0" r="0" b="38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3FDC5" w14:textId="26FEEBFE" w:rsidR="00EB6731" w:rsidRDefault="00EB6731" w:rsidP="00E4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ED7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.65pt;margin-top:-407.9pt;width:146.2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" filled="f" stroked="f" strokeweight=".5pt">
                <v:textbox>
                  <w:txbxContent>
                    <w:p w14:paraId="64B3FDC5" w14:textId="26FEEBFE" w:rsidR="00EB6731" w:rsidRDefault="00EB6731" w:rsidP="00E43B24"/>
                  </w:txbxContent>
                </v:textbox>
              </v:shape>
            </w:pict>
          </mc:Fallback>
        </mc:AlternateContent>
      </w:r>
      <w:r>
        <w:t>rch. Jan Malík</w:t>
      </w:r>
    </w:p>
    <w:p w14:paraId="595314A7" w14:textId="6DE2C474" w:rsidR="007601FB" w:rsidRPr="00EB6731" w:rsidRDefault="007601FB" w:rsidP="007601FB">
      <w:pPr>
        <w:pStyle w:val="Bezmezer"/>
        <w:rPr>
          <w:rFonts w:eastAsia="Calibri"/>
          <w:b/>
          <w:bCs/>
        </w:rPr>
      </w:pPr>
      <w:r>
        <w:t>starosta města</w:t>
      </w:r>
    </w:p>
    <w:sectPr w:rsidR="007601FB" w:rsidRPr="00EB6731" w:rsidSect="006130E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6813D" w14:textId="77777777" w:rsidR="008516E1" w:rsidRDefault="008516E1">
      <w:r>
        <w:separator/>
      </w:r>
    </w:p>
    <w:p w14:paraId="3018D707" w14:textId="77777777" w:rsidR="008516E1" w:rsidRDefault="008516E1"/>
  </w:endnote>
  <w:endnote w:type="continuationSeparator" w:id="0">
    <w:p w14:paraId="037393AC" w14:textId="77777777" w:rsidR="008516E1" w:rsidRDefault="008516E1">
      <w:r>
        <w:continuationSeparator/>
      </w:r>
    </w:p>
    <w:p w14:paraId="03F4E7DC" w14:textId="77777777" w:rsidR="008516E1" w:rsidRDefault="00851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Arial"/>
    <w:charset w:val="00"/>
    <w:family w:val="swiss"/>
    <w:pitch w:val="variable"/>
    <w:sig w:usb0="00000001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1B80C" w14:textId="77777777" w:rsidR="006130E9" w:rsidRPr="002D2146" w:rsidRDefault="006130E9" w:rsidP="006130E9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6F98C2A" wp14:editId="0E83091E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AA3D39" id="Přímá spojnice 23894266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" strokecolor="windowText" strokeweight="3pt">
              <v:stroke joinstyle="miter"/>
            </v:line>
          </w:pict>
        </mc:Fallback>
      </mc:AlternateContent>
    </w:r>
  </w:p>
  <w:p w14:paraId="4ECE9A12" w14:textId="77777777" w:rsidR="006130E9" w:rsidRPr="002D2146" w:rsidRDefault="006130E9" w:rsidP="006130E9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E62073">
      <w:rPr>
        <w:rFonts w:eastAsia="Calibri" w:cs="Calibri"/>
        <w:bCs/>
        <w:noProof/>
        <w:sz w:val="20"/>
        <w:szCs w:val="20"/>
      </w:rPr>
      <w:t>6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E62073">
      <w:rPr>
        <w:rFonts w:eastAsia="Calibri" w:cs="Calibri"/>
        <w:bCs/>
        <w:noProof/>
        <w:sz w:val="20"/>
        <w:szCs w:val="20"/>
      </w:rPr>
      <w:t>6</w:t>
    </w:r>
    <w:r w:rsidRPr="0054614F">
      <w:rPr>
        <w:rFonts w:eastAsia="Calibri" w:cs="Calibri"/>
        <w:bCs/>
        <w:sz w:val="20"/>
        <w:szCs w:val="20"/>
      </w:rPr>
      <w:fldChar w:fldCharType="end"/>
    </w: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86912" behindDoc="1" locked="1" layoutInCell="1" allowOverlap="1" wp14:anchorId="54017FEA" wp14:editId="589520CD">
          <wp:simplePos x="899160" y="995934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3739030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3B0F" w14:textId="48E74A4C" w:rsidR="006130E9" w:rsidRPr="002D2146" w:rsidRDefault="006130E9" w:rsidP="006130E9">
    <w:pPr>
      <w:rPr>
        <w:rFonts w:eastAsia="Calibri" w:cs="Calibri"/>
        <w:bCs/>
        <w:sz w:val="16"/>
        <w:szCs w:val="16"/>
      </w:rPr>
    </w:pPr>
    <w:r w:rsidRPr="00DB6BD5">
      <w:rPr>
        <w:rFonts w:ascii="IBM Plex Sans" w:eastAsia="Calibri" w:hAnsi="IBM Plex Sans" w:cs="Noto Serif"/>
        <w:bCs/>
        <w:noProof/>
        <w:szCs w:val="22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714080" wp14:editId="1CC43370">
              <wp:simplePos x="0" y="0"/>
              <wp:positionH relativeFrom="margin">
                <wp:posOffset>8804910</wp:posOffset>
              </wp:positionH>
              <wp:positionV relativeFrom="paragraph">
                <wp:posOffset>19050</wp:posOffset>
              </wp:positionV>
              <wp:extent cx="32258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58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ACBC45" id="Přímá spojnice 169872329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93.3pt,1.5pt" to="718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" strokecolor="windowText" strokeweight="3pt">
              <v:stroke joinstyle="miter"/>
              <w10:wrap anchorx="margin"/>
            </v:line>
          </w:pict>
        </mc:Fallback>
      </mc:AlternateContent>
    </w: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79744" behindDoc="1" locked="1" layoutInCell="1" allowOverlap="1" wp14:anchorId="2DF6075C" wp14:editId="52852CB0">
          <wp:simplePos x="899160" y="960882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554192150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A1034BA" wp14:editId="3AC3A6C7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966072639" name="Přímá spojnice 9660726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F6C08" id="Přímá spojnice 96607263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" strokecolor="windowText" strokeweight="3pt">
              <v:stroke joinstyle="miter"/>
            </v:line>
          </w:pict>
        </mc:Fallback>
      </mc:AlternateContent>
    </w:r>
  </w:p>
  <w:p w14:paraId="37C3849E" w14:textId="75F31171" w:rsidR="006130E9" w:rsidRPr="00DB6BD5" w:rsidRDefault="006130E9" w:rsidP="006130E9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  <w:lang w:eastAsia="en-US"/>
      </w:rPr>
    </w:pP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83840" behindDoc="1" locked="0" layoutInCell="1" allowOverlap="1" wp14:anchorId="5319BF68" wp14:editId="4D092099">
          <wp:simplePos x="0" y="0"/>
          <wp:positionH relativeFrom="margin">
            <wp:posOffset>0</wp:posOffset>
          </wp:positionH>
          <wp:positionV relativeFrom="page">
            <wp:posOffset>9775825</wp:posOffset>
          </wp:positionV>
          <wp:extent cx="466725" cy="466725"/>
          <wp:effectExtent l="0" t="0" r="9525" b="9525"/>
          <wp:wrapNone/>
          <wp:docPr id="1462972525" name="Obrázek 1462972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E62073">
      <w:rPr>
        <w:rFonts w:eastAsia="Calibri" w:cs="Calibri"/>
        <w:bCs/>
        <w:noProof/>
        <w:sz w:val="20"/>
        <w:szCs w:val="20"/>
      </w:rPr>
      <w:t>1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E62073">
      <w:rPr>
        <w:rFonts w:eastAsia="Calibri" w:cs="Calibri"/>
        <w:bCs/>
        <w:noProof/>
        <w:sz w:val="20"/>
        <w:szCs w:val="20"/>
      </w:rPr>
      <w:t>6</w:t>
    </w:r>
    <w:r w:rsidRPr="0054614F">
      <w:rPr>
        <w:rFonts w:eastAsia="Calibri" w:cs="Calibri"/>
        <w:bCs/>
        <w:sz w:val="20"/>
        <w:szCs w:val="20"/>
      </w:rPr>
      <w:fldChar w:fldCharType="end"/>
    </w: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81792" behindDoc="1" locked="1" layoutInCell="1" allowOverlap="1" wp14:anchorId="7EE1E6A6" wp14:editId="3B5A5DA6">
          <wp:simplePos x="899160" y="995934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23100697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6130E9" w:rsidRPr="004D3434" w14:paraId="2265260B" w14:textId="77777777" w:rsidTr="009470C9">
      <w:trPr>
        <w:trHeight w:val="395"/>
      </w:trPr>
      <w:tc>
        <w:tcPr>
          <w:tcW w:w="2977" w:type="dxa"/>
        </w:tcPr>
        <w:p w14:paraId="62C376E4" w14:textId="77777777" w:rsidR="006130E9" w:rsidRPr="004D3434" w:rsidRDefault="006130E9" w:rsidP="006130E9">
          <w:pPr>
            <w:autoSpaceDE w:val="0"/>
            <w:autoSpaceDN w:val="0"/>
            <w:adjustRightInd w:val="0"/>
            <w:spacing w:after="0"/>
            <w:jc w:val="left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D3434">
            <w:rPr>
              <w:rFonts w:asciiTheme="minorHAnsi" w:eastAsia="Calibri" w:hAnsiTheme="minorHAnsi" w:cstheme="minorHAnsi"/>
              <w:sz w:val="16"/>
              <w:szCs w:val="16"/>
            </w:rPr>
            <w:t>Městský úřad Příbor</w:t>
          </w:r>
        </w:p>
        <w:p w14:paraId="7FB4EC54" w14:textId="77777777" w:rsidR="006130E9" w:rsidRPr="004D3434" w:rsidRDefault="006130E9" w:rsidP="006130E9">
          <w:pPr>
            <w:autoSpaceDE w:val="0"/>
            <w:autoSpaceDN w:val="0"/>
            <w:adjustRightInd w:val="0"/>
            <w:spacing w:after="0"/>
            <w:jc w:val="left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D3434">
            <w:rPr>
              <w:rFonts w:asciiTheme="minorHAnsi" w:eastAsia="Calibri" w:hAnsiTheme="minorHAnsi" w:cstheme="minorHAnsi"/>
              <w:sz w:val="16"/>
              <w:szCs w:val="16"/>
            </w:rPr>
            <w:t>nám. Sigmunda Freuda 19</w:t>
          </w:r>
        </w:p>
        <w:p w14:paraId="5ADB5B1C" w14:textId="77777777" w:rsidR="006130E9" w:rsidRPr="004D3434" w:rsidRDefault="006130E9" w:rsidP="006130E9">
          <w:pPr>
            <w:autoSpaceDE w:val="0"/>
            <w:autoSpaceDN w:val="0"/>
            <w:adjustRightInd w:val="0"/>
            <w:spacing w:after="0"/>
            <w:jc w:val="left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D3434">
            <w:rPr>
              <w:rFonts w:asciiTheme="minorHAnsi" w:eastAsia="Calibri" w:hAnsiTheme="minorHAnsi" w:cstheme="minorHAns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C43201C" w14:textId="77777777" w:rsidR="006130E9" w:rsidRPr="004D3434" w:rsidRDefault="006130E9" w:rsidP="006130E9">
          <w:pPr>
            <w:autoSpaceDE w:val="0"/>
            <w:autoSpaceDN w:val="0"/>
            <w:adjustRightInd w:val="0"/>
            <w:spacing w:after="0"/>
            <w:jc w:val="left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D3434">
            <w:rPr>
              <w:rFonts w:asciiTheme="minorHAnsi" w:eastAsia="Calibri" w:hAnsiTheme="minorHAnsi" w:cstheme="minorHAnsi"/>
              <w:sz w:val="16"/>
              <w:szCs w:val="16"/>
            </w:rPr>
            <w:t>+420 556 455 455</w:t>
          </w:r>
        </w:p>
        <w:p w14:paraId="26338AF8" w14:textId="77777777" w:rsidR="006130E9" w:rsidRPr="004D3434" w:rsidRDefault="006130E9" w:rsidP="006130E9">
          <w:pPr>
            <w:autoSpaceDE w:val="0"/>
            <w:autoSpaceDN w:val="0"/>
            <w:adjustRightInd w:val="0"/>
            <w:spacing w:after="0"/>
            <w:jc w:val="left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D3434">
            <w:rPr>
              <w:rFonts w:asciiTheme="minorHAnsi" w:eastAsia="Calibri" w:hAnsiTheme="minorHAnsi" w:cstheme="minorHAnsi"/>
              <w:sz w:val="16"/>
              <w:szCs w:val="16"/>
            </w:rPr>
            <w:t>info@pribor-mesto.cz</w:t>
          </w:r>
        </w:p>
        <w:p w14:paraId="226719CC" w14:textId="77777777" w:rsidR="006130E9" w:rsidRPr="004D3434" w:rsidRDefault="006130E9" w:rsidP="006130E9">
          <w:pPr>
            <w:autoSpaceDE w:val="0"/>
            <w:autoSpaceDN w:val="0"/>
            <w:adjustRightInd w:val="0"/>
            <w:spacing w:after="0"/>
            <w:jc w:val="left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D3434">
            <w:rPr>
              <w:rFonts w:asciiTheme="minorHAnsi" w:eastAsia="Calibri" w:hAnsiTheme="minorHAnsi" w:cstheme="minorHAns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68556872" w14:textId="77777777" w:rsidR="006130E9" w:rsidRPr="004D3434" w:rsidRDefault="006130E9" w:rsidP="006130E9">
          <w:pPr>
            <w:autoSpaceDE w:val="0"/>
            <w:autoSpaceDN w:val="0"/>
            <w:adjustRightInd w:val="0"/>
            <w:spacing w:after="0"/>
            <w:jc w:val="left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D3434">
            <w:rPr>
              <w:rFonts w:asciiTheme="minorHAnsi" w:eastAsia="Calibri" w:hAnsiTheme="minorHAnsi" w:cstheme="minorHAnsi"/>
              <w:sz w:val="16"/>
              <w:szCs w:val="16"/>
            </w:rPr>
            <w:t>IČO: 00298328</w:t>
          </w:r>
        </w:p>
        <w:p w14:paraId="2F94C63D" w14:textId="77777777" w:rsidR="006130E9" w:rsidRPr="004D3434" w:rsidRDefault="006130E9" w:rsidP="006130E9">
          <w:pPr>
            <w:autoSpaceDE w:val="0"/>
            <w:autoSpaceDN w:val="0"/>
            <w:adjustRightInd w:val="0"/>
            <w:spacing w:after="0"/>
            <w:jc w:val="left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D3434">
            <w:rPr>
              <w:rFonts w:asciiTheme="minorHAnsi" w:eastAsia="Calibri" w:hAnsiTheme="minorHAnsi" w:cstheme="minorHAnsi"/>
              <w:sz w:val="16"/>
              <w:szCs w:val="16"/>
            </w:rPr>
            <w:t>DIČ: CZ00298328</w:t>
          </w:r>
        </w:p>
        <w:p w14:paraId="7985F06B" w14:textId="77777777" w:rsidR="006130E9" w:rsidRPr="004D3434" w:rsidRDefault="006130E9" w:rsidP="006130E9">
          <w:pPr>
            <w:tabs>
              <w:tab w:val="left" w:pos="4253"/>
            </w:tabs>
            <w:autoSpaceDE w:val="0"/>
            <w:autoSpaceDN w:val="0"/>
            <w:adjustRightInd w:val="0"/>
            <w:spacing w:after="0"/>
            <w:jc w:val="left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4D3434">
            <w:rPr>
              <w:rFonts w:asciiTheme="minorHAnsi" w:eastAsia="Calibri" w:hAnsiTheme="minorHAnsi" w:cstheme="minorHAnsi"/>
              <w:sz w:val="16"/>
              <w:szCs w:val="16"/>
            </w:rPr>
            <w:t>ČÚ: 19-2225801/0100</w:t>
          </w:r>
        </w:p>
      </w:tc>
    </w:tr>
  </w:tbl>
  <w:p w14:paraId="7509A6A2" w14:textId="3DBC2563" w:rsidR="004D3434" w:rsidRPr="006130E9" w:rsidRDefault="004D3434" w:rsidP="006130E9">
    <w:pPr>
      <w:pStyle w:val="Zpa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BD19A" w14:textId="77777777" w:rsidR="008516E1" w:rsidRDefault="008516E1">
      <w:r>
        <w:separator/>
      </w:r>
    </w:p>
    <w:p w14:paraId="12A509EB" w14:textId="77777777" w:rsidR="008516E1" w:rsidRDefault="008516E1"/>
  </w:footnote>
  <w:footnote w:type="continuationSeparator" w:id="0">
    <w:p w14:paraId="4AC3E6EB" w14:textId="77777777" w:rsidR="008516E1" w:rsidRDefault="008516E1">
      <w:r>
        <w:continuationSeparator/>
      </w:r>
    </w:p>
    <w:p w14:paraId="587E9911" w14:textId="77777777" w:rsidR="008516E1" w:rsidRDefault="008516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6A353" w14:textId="77777777" w:rsidR="006130E9" w:rsidRDefault="006130E9" w:rsidP="006130E9">
    <w:pPr>
      <w:pStyle w:val="Zhlav"/>
      <w:rPr>
        <w:szCs w:val="20"/>
      </w:rPr>
    </w:pPr>
    <w:r>
      <w:rPr>
        <w:szCs w:val="20"/>
      </w:rPr>
      <w:t>Pravidla</w:t>
    </w:r>
    <w:r w:rsidRPr="00974B19">
      <w:rPr>
        <w:szCs w:val="20"/>
      </w:rPr>
      <w:t xml:space="preserve"> č. /202</w:t>
    </w:r>
    <w:r>
      <w:rPr>
        <w:szCs w:val="20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42A2F" w14:textId="77777777" w:rsidR="006130E9" w:rsidRPr="000F37DA" w:rsidRDefault="006130E9" w:rsidP="006130E9">
    <w:pPr>
      <w:spacing w:after="60"/>
      <w:jc w:val="center"/>
      <w:rPr>
        <w:rFonts w:cs="Calibri"/>
        <w:smallCaps/>
        <w:sz w:val="40"/>
        <w:szCs w:val="40"/>
      </w:rPr>
    </w:pPr>
    <w:bookmarkStart w:id="9" w:name="_Hlk189055613"/>
    <w:r w:rsidRPr="000F37DA">
      <w:rPr>
        <w:rFonts w:eastAsia="Calibri" w:cs="Calibri"/>
        <w:b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493173D3" wp14:editId="093554B3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90195073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37DA">
      <w:rPr>
        <w:rFonts w:cs="Calibri"/>
        <w:smallCaps/>
        <w:sz w:val="40"/>
        <w:szCs w:val="40"/>
      </w:rPr>
      <w:t>Město Příbor</w:t>
    </w:r>
  </w:p>
  <w:p w14:paraId="3FD33526" w14:textId="77777777" w:rsidR="006130E9" w:rsidRPr="000F37DA" w:rsidRDefault="006130E9" w:rsidP="006130E9">
    <w:pPr>
      <w:jc w:val="center"/>
      <w:rPr>
        <w:rFonts w:cs="Calibri"/>
        <w:sz w:val="32"/>
        <w:szCs w:val="40"/>
      </w:rPr>
    </w:pPr>
    <w:r w:rsidRPr="000F37DA">
      <w:rPr>
        <w:rFonts w:cs="Calibri"/>
        <w:smallCaps/>
        <w:sz w:val="40"/>
        <w:szCs w:val="40"/>
      </w:rPr>
      <w:t>Městský úřad Příbor</w:t>
    </w:r>
  </w:p>
  <w:p w14:paraId="24AAD81C" w14:textId="77777777" w:rsidR="006130E9" w:rsidRPr="000F37DA" w:rsidRDefault="006130E9" w:rsidP="006130E9">
    <w:pPr>
      <w:pStyle w:val="Zhlav"/>
      <w:jc w:val="center"/>
    </w:pPr>
    <w:r w:rsidRPr="000F37DA">
      <w:rPr>
        <w:rFonts w:eastAsia="Times New Roman" w:cs="Calibri"/>
        <w:sz w:val="24"/>
        <w:szCs w:val="20"/>
      </w:rPr>
      <w:t>náměstí Sigmunda Freuda 19, 742 58  Příbor</w:t>
    </w:r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13E51F4"/>
    <w:multiLevelType w:val="hybridMultilevel"/>
    <w:tmpl w:val="9092C556"/>
    <w:lvl w:ilvl="0" w:tplc="6502689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A3C5B1F"/>
    <w:multiLevelType w:val="hybridMultilevel"/>
    <w:tmpl w:val="168A26C0"/>
    <w:lvl w:ilvl="0" w:tplc="A19A2E50">
      <w:start w:val="1"/>
      <w:numFmt w:val="lowerLetter"/>
      <w:lvlText w:val="%1)"/>
      <w:lvlJc w:val="left"/>
      <w:pPr>
        <w:ind w:left="720" w:hanging="360"/>
      </w:pPr>
    </w:lvl>
    <w:lvl w:ilvl="1" w:tplc="AC7A31B4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79A59CC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914A84"/>
    <w:multiLevelType w:val="hybridMultilevel"/>
    <w:tmpl w:val="4E8A5A62"/>
    <w:lvl w:ilvl="0" w:tplc="A248118A">
      <w:start w:val="1"/>
      <w:numFmt w:val="decimal"/>
      <w:pStyle w:val="1rovevlnku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E407BD"/>
    <w:multiLevelType w:val="hybridMultilevel"/>
    <w:tmpl w:val="7A6E7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A6961"/>
    <w:multiLevelType w:val="hybridMultilevel"/>
    <w:tmpl w:val="7C6490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502689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6492C"/>
    <w:multiLevelType w:val="hybridMultilevel"/>
    <w:tmpl w:val="B0623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777F0"/>
    <w:multiLevelType w:val="hybridMultilevel"/>
    <w:tmpl w:val="069C0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169CB"/>
    <w:multiLevelType w:val="hybridMultilevel"/>
    <w:tmpl w:val="879CD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9B8C8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6EAC8E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B34B6"/>
    <w:multiLevelType w:val="multilevel"/>
    <w:tmpl w:val="256E4D9E"/>
    <w:lvl w:ilvl="0">
      <w:start w:val="1"/>
      <w:numFmt w:val="upperRoman"/>
      <w:pStyle w:val="Nadpis1"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499A4A58"/>
    <w:multiLevelType w:val="hybridMultilevel"/>
    <w:tmpl w:val="C248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35CD26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0620"/>
    <w:multiLevelType w:val="hybridMultilevel"/>
    <w:tmpl w:val="5246C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65B5D"/>
    <w:multiLevelType w:val="multilevel"/>
    <w:tmpl w:val="D4B84C3E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2" w15:restartNumberingAfterBreak="0">
    <w:nsid w:val="5FD9500E"/>
    <w:multiLevelType w:val="hybridMultilevel"/>
    <w:tmpl w:val="17EC1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1C2140"/>
    <w:multiLevelType w:val="hybridMultilevel"/>
    <w:tmpl w:val="B11CF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65F04"/>
    <w:multiLevelType w:val="hybridMultilevel"/>
    <w:tmpl w:val="90E41EEA"/>
    <w:lvl w:ilvl="0" w:tplc="72B874E8">
      <w:start w:val="1"/>
      <w:numFmt w:val="lowerLetter"/>
      <w:pStyle w:val="2rovevlnku-psmena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15DC"/>
    <w:multiLevelType w:val="hybridMultilevel"/>
    <w:tmpl w:val="A29A7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24"/>
  </w:num>
  <w:num w:numId="3">
    <w:abstractNumId w:val="36"/>
  </w:num>
  <w:num w:numId="4">
    <w:abstractNumId w:val="20"/>
  </w:num>
  <w:num w:numId="5">
    <w:abstractNumId w:val="32"/>
  </w:num>
  <w:num w:numId="6">
    <w:abstractNumId w:val="19"/>
  </w:num>
  <w:num w:numId="7">
    <w:abstractNumId w:val="20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8"/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25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34"/>
  </w:num>
  <w:num w:numId="24">
    <w:abstractNumId w:val="34"/>
    <w:lvlOverride w:ilvl="0">
      <w:startOverride w:val="1"/>
    </w:lvlOverride>
  </w:num>
  <w:num w:numId="25">
    <w:abstractNumId w:val="34"/>
    <w:lvlOverride w:ilvl="0">
      <w:startOverride w:val="1"/>
    </w:lvlOverride>
  </w:num>
  <w:num w:numId="26">
    <w:abstractNumId w:val="23"/>
  </w:num>
  <w:num w:numId="27">
    <w:abstractNumId w:val="34"/>
    <w:lvlOverride w:ilvl="0">
      <w:startOverride w:val="1"/>
    </w:lvlOverride>
  </w:num>
  <w:num w:numId="28">
    <w:abstractNumId w:val="34"/>
  </w:num>
  <w:num w:numId="29">
    <w:abstractNumId w:val="18"/>
  </w:num>
  <w:num w:numId="30">
    <w:abstractNumId w:val="34"/>
  </w:num>
  <w:num w:numId="31">
    <w:abstractNumId w:val="34"/>
    <w:lvlOverride w:ilvl="0">
      <w:startOverride w:val="1"/>
    </w:lvlOverride>
  </w:num>
  <w:num w:numId="32">
    <w:abstractNumId w:val="33"/>
  </w:num>
  <w:num w:numId="33">
    <w:abstractNumId w:val="26"/>
  </w:num>
  <w:num w:numId="34">
    <w:abstractNumId w:val="27"/>
  </w:num>
  <w:num w:numId="35">
    <w:abstractNumId w:val="30"/>
  </w:num>
  <w:num w:numId="36">
    <w:abstractNumId w:val="22"/>
  </w:num>
  <w:num w:numId="37">
    <w:abstractNumId w:val="29"/>
  </w:num>
  <w:num w:numId="38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9F"/>
    <w:rsid w:val="000011D7"/>
    <w:rsid w:val="00002C19"/>
    <w:rsid w:val="00006802"/>
    <w:rsid w:val="00006A70"/>
    <w:rsid w:val="00006E6B"/>
    <w:rsid w:val="00010AB7"/>
    <w:rsid w:val="00011E60"/>
    <w:rsid w:val="0001204A"/>
    <w:rsid w:val="000163D5"/>
    <w:rsid w:val="00016DC8"/>
    <w:rsid w:val="00021FB5"/>
    <w:rsid w:val="00024195"/>
    <w:rsid w:val="00024703"/>
    <w:rsid w:val="000264A0"/>
    <w:rsid w:val="00026FC6"/>
    <w:rsid w:val="00032FCB"/>
    <w:rsid w:val="0003555F"/>
    <w:rsid w:val="00041560"/>
    <w:rsid w:val="000419BF"/>
    <w:rsid w:val="0004370B"/>
    <w:rsid w:val="0004384E"/>
    <w:rsid w:val="00046EF9"/>
    <w:rsid w:val="000547EE"/>
    <w:rsid w:val="00056B41"/>
    <w:rsid w:val="00060350"/>
    <w:rsid w:val="00065679"/>
    <w:rsid w:val="00065FC8"/>
    <w:rsid w:val="00072863"/>
    <w:rsid w:val="000747B1"/>
    <w:rsid w:val="00080C1C"/>
    <w:rsid w:val="0008141E"/>
    <w:rsid w:val="00084DC2"/>
    <w:rsid w:val="00085D65"/>
    <w:rsid w:val="00087764"/>
    <w:rsid w:val="00090B69"/>
    <w:rsid w:val="0009336A"/>
    <w:rsid w:val="00095179"/>
    <w:rsid w:val="000A5941"/>
    <w:rsid w:val="000A6B21"/>
    <w:rsid w:val="000C0E5F"/>
    <w:rsid w:val="000C31FB"/>
    <w:rsid w:val="000C352F"/>
    <w:rsid w:val="000C550B"/>
    <w:rsid w:val="000C5DBB"/>
    <w:rsid w:val="000C6167"/>
    <w:rsid w:val="000C7F7A"/>
    <w:rsid w:val="000D3FFB"/>
    <w:rsid w:val="000D5E56"/>
    <w:rsid w:val="000E10B4"/>
    <w:rsid w:val="000E1FA6"/>
    <w:rsid w:val="000E2933"/>
    <w:rsid w:val="000E5881"/>
    <w:rsid w:val="000F12D3"/>
    <w:rsid w:val="000F1BF9"/>
    <w:rsid w:val="000F1E3D"/>
    <w:rsid w:val="000F2D74"/>
    <w:rsid w:val="000F2D99"/>
    <w:rsid w:val="000F37DA"/>
    <w:rsid w:val="000F658F"/>
    <w:rsid w:val="000F7646"/>
    <w:rsid w:val="000F7661"/>
    <w:rsid w:val="00100566"/>
    <w:rsid w:val="00103235"/>
    <w:rsid w:val="001040C5"/>
    <w:rsid w:val="00105EB1"/>
    <w:rsid w:val="0011169D"/>
    <w:rsid w:val="00112D7F"/>
    <w:rsid w:val="0011580D"/>
    <w:rsid w:val="001174E2"/>
    <w:rsid w:val="0012048B"/>
    <w:rsid w:val="00120E3E"/>
    <w:rsid w:val="00121FC2"/>
    <w:rsid w:val="00122E79"/>
    <w:rsid w:val="0012404F"/>
    <w:rsid w:val="00124668"/>
    <w:rsid w:val="0012573A"/>
    <w:rsid w:val="00130C33"/>
    <w:rsid w:val="00132118"/>
    <w:rsid w:val="00132812"/>
    <w:rsid w:val="00133F0E"/>
    <w:rsid w:val="001355C2"/>
    <w:rsid w:val="00135AB8"/>
    <w:rsid w:val="00136181"/>
    <w:rsid w:val="00142426"/>
    <w:rsid w:val="00142618"/>
    <w:rsid w:val="001431CB"/>
    <w:rsid w:val="00143F17"/>
    <w:rsid w:val="00147227"/>
    <w:rsid w:val="001472AD"/>
    <w:rsid w:val="00151B7E"/>
    <w:rsid w:val="00152C75"/>
    <w:rsid w:val="00153D20"/>
    <w:rsid w:val="00154807"/>
    <w:rsid w:val="00154D4C"/>
    <w:rsid w:val="0015584A"/>
    <w:rsid w:val="00155944"/>
    <w:rsid w:val="00156081"/>
    <w:rsid w:val="001600FE"/>
    <w:rsid w:val="0016020B"/>
    <w:rsid w:val="00161C46"/>
    <w:rsid w:val="00161D0A"/>
    <w:rsid w:val="0016319F"/>
    <w:rsid w:val="00164110"/>
    <w:rsid w:val="001706FB"/>
    <w:rsid w:val="00172978"/>
    <w:rsid w:val="00172AB7"/>
    <w:rsid w:val="00172ABC"/>
    <w:rsid w:val="001756C8"/>
    <w:rsid w:val="0017600C"/>
    <w:rsid w:val="00176D26"/>
    <w:rsid w:val="00180111"/>
    <w:rsid w:val="001804F4"/>
    <w:rsid w:val="001838BE"/>
    <w:rsid w:val="00184FF7"/>
    <w:rsid w:val="00186C78"/>
    <w:rsid w:val="00190168"/>
    <w:rsid w:val="001909ED"/>
    <w:rsid w:val="00193433"/>
    <w:rsid w:val="00194001"/>
    <w:rsid w:val="001944DF"/>
    <w:rsid w:val="00196EAC"/>
    <w:rsid w:val="0019714F"/>
    <w:rsid w:val="00197B5C"/>
    <w:rsid w:val="001A1BF3"/>
    <w:rsid w:val="001A2C23"/>
    <w:rsid w:val="001A4AE7"/>
    <w:rsid w:val="001A6CD8"/>
    <w:rsid w:val="001B2A5B"/>
    <w:rsid w:val="001B7676"/>
    <w:rsid w:val="001B7848"/>
    <w:rsid w:val="001C64EF"/>
    <w:rsid w:val="001D1EC8"/>
    <w:rsid w:val="001D3BF1"/>
    <w:rsid w:val="001D6BDA"/>
    <w:rsid w:val="001D6D0B"/>
    <w:rsid w:val="001E0931"/>
    <w:rsid w:val="001E0962"/>
    <w:rsid w:val="001E1F7A"/>
    <w:rsid w:val="001E3761"/>
    <w:rsid w:val="001E65EA"/>
    <w:rsid w:val="001F0EF3"/>
    <w:rsid w:val="001F193B"/>
    <w:rsid w:val="001F20CA"/>
    <w:rsid w:val="001F22E3"/>
    <w:rsid w:val="001F28E6"/>
    <w:rsid w:val="001F3EB9"/>
    <w:rsid w:val="001F5776"/>
    <w:rsid w:val="001F601A"/>
    <w:rsid w:val="001F69C0"/>
    <w:rsid w:val="00201845"/>
    <w:rsid w:val="00202233"/>
    <w:rsid w:val="002023C2"/>
    <w:rsid w:val="002026C3"/>
    <w:rsid w:val="00202B1B"/>
    <w:rsid w:val="002039B4"/>
    <w:rsid w:val="0020734B"/>
    <w:rsid w:val="00210A18"/>
    <w:rsid w:val="00213F59"/>
    <w:rsid w:val="00215CE7"/>
    <w:rsid w:val="002170B0"/>
    <w:rsid w:val="002172FD"/>
    <w:rsid w:val="00220D8B"/>
    <w:rsid w:val="00226448"/>
    <w:rsid w:val="0022726C"/>
    <w:rsid w:val="00227658"/>
    <w:rsid w:val="00231F33"/>
    <w:rsid w:val="00237ADF"/>
    <w:rsid w:val="00241F10"/>
    <w:rsid w:val="00253BBA"/>
    <w:rsid w:val="00255151"/>
    <w:rsid w:val="002554AF"/>
    <w:rsid w:val="0025736A"/>
    <w:rsid w:val="00257D34"/>
    <w:rsid w:val="00257D4D"/>
    <w:rsid w:val="00261331"/>
    <w:rsid w:val="00262363"/>
    <w:rsid w:val="002631DA"/>
    <w:rsid w:val="002646AC"/>
    <w:rsid w:val="00267F39"/>
    <w:rsid w:val="00272CFD"/>
    <w:rsid w:val="00274F38"/>
    <w:rsid w:val="0028480E"/>
    <w:rsid w:val="00286CD7"/>
    <w:rsid w:val="00287631"/>
    <w:rsid w:val="002910AE"/>
    <w:rsid w:val="00291B34"/>
    <w:rsid w:val="00292C76"/>
    <w:rsid w:val="00293AE0"/>
    <w:rsid w:val="00295C9F"/>
    <w:rsid w:val="00295CD3"/>
    <w:rsid w:val="00297D46"/>
    <w:rsid w:val="002A28AD"/>
    <w:rsid w:val="002A45D7"/>
    <w:rsid w:val="002B5E0E"/>
    <w:rsid w:val="002C16A7"/>
    <w:rsid w:val="002C371E"/>
    <w:rsid w:val="002D2291"/>
    <w:rsid w:val="002D3CD4"/>
    <w:rsid w:val="002E370A"/>
    <w:rsid w:val="002E569A"/>
    <w:rsid w:val="002E63B4"/>
    <w:rsid w:val="002F1798"/>
    <w:rsid w:val="002F2160"/>
    <w:rsid w:val="002F3934"/>
    <w:rsid w:val="002F6CEF"/>
    <w:rsid w:val="002F7705"/>
    <w:rsid w:val="002F7A2B"/>
    <w:rsid w:val="003037C4"/>
    <w:rsid w:val="0030402D"/>
    <w:rsid w:val="0030430F"/>
    <w:rsid w:val="003050D6"/>
    <w:rsid w:val="00306878"/>
    <w:rsid w:val="00311F11"/>
    <w:rsid w:val="0031277F"/>
    <w:rsid w:val="00313327"/>
    <w:rsid w:val="003147D4"/>
    <w:rsid w:val="00316AB3"/>
    <w:rsid w:val="003205F1"/>
    <w:rsid w:val="00321D1A"/>
    <w:rsid w:val="003224DB"/>
    <w:rsid w:val="003263A4"/>
    <w:rsid w:val="003321B6"/>
    <w:rsid w:val="00332772"/>
    <w:rsid w:val="00335A51"/>
    <w:rsid w:val="00336516"/>
    <w:rsid w:val="00342810"/>
    <w:rsid w:val="003445D6"/>
    <w:rsid w:val="003458E2"/>
    <w:rsid w:val="00345A97"/>
    <w:rsid w:val="003463AD"/>
    <w:rsid w:val="00347233"/>
    <w:rsid w:val="003525C2"/>
    <w:rsid w:val="00353796"/>
    <w:rsid w:val="003542AA"/>
    <w:rsid w:val="0035522E"/>
    <w:rsid w:val="00355C89"/>
    <w:rsid w:val="00357E7C"/>
    <w:rsid w:val="0036251F"/>
    <w:rsid w:val="0036255C"/>
    <w:rsid w:val="003664C6"/>
    <w:rsid w:val="00366959"/>
    <w:rsid w:val="00367CCB"/>
    <w:rsid w:val="00374EC4"/>
    <w:rsid w:val="00377FEB"/>
    <w:rsid w:val="00383648"/>
    <w:rsid w:val="00385A97"/>
    <w:rsid w:val="0038755E"/>
    <w:rsid w:val="0038765D"/>
    <w:rsid w:val="00387D06"/>
    <w:rsid w:val="0039026C"/>
    <w:rsid w:val="00391049"/>
    <w:rsid w:val="0039221A"/>
    <w:rsid w:val="00393686"/>
    <w:rsid w:val="00393C57"/>
    <w:rsid w:val="0039627A"/>
    <w:rsid w:val="0039664D"/>
    <w:rsid w:val="00397B92"/>
    <w:rsid w:val="00397CE2"/>
    <w:rsid w:val="003A0A09"/>
    <w:rsid w:val="003A21BA"/>
    <w:rsid w:val="003A4D21"/>
    <w:rsid w:val="003A77B4"/>
    <w:rsid w:val="003B1A72"/>
    <w:rsid w:val="003B484D"/>
    <w:rsid w:val="003B6ADD"/>
    <w:rsid w:val="003C03D7"/>
    <w:rsid w:val="003C3535"/>
    <w:rsid w:val="003C3B20"/>
    <w:rsid w:val="003D2F43"/>
    <w:rsid w:val="003E127B"/>
    <w:rsid w:val="003E1453"/>
    <w:rsid w:val="003E1C6C"/>
    <w:rsid w:val="003E4625"/>
    <w:rsid w:val="003E5593"/>
    <w:rsid w:val="003E6FDB"/>
    <w:rsid w:val="003F0AC9"/>
    <w:rsid w:val="003F2390"/>
    <w:rsid w:val="003F3C7F"/>
    <w:rsid w:val="003F4979"/>
    <w:rsid w:val="003F5201"/>
    <w:rsid w:val="003F62B1"/>
    <w:rsid w:val="003F6AB7"/>
    <w:rsid w:val="0040408A"/>
    <w:rsid w:val="00406B23"/>
    <w:rsid w:val="00410CE7"/>
    <w:rsid w:val="00413BBF"/>
    <w:rsid w:val="00415A95"/>
    <w:rsid w:val="00420650"/>
    <w:rsid w:val="00422B5F"/>
    <w:rsid w:val="00422D7D"/>
    <w:rsid w:val="004231DA"/>
    <w:rsid w:val="00423781"/>
    <w:rsid w:val="00426AEC"/>
    <w:rsid w:val="00436895"/>
    <w:rsid w:val="004406C6"/>
    <w:rsid w:val="00443CEC"/>
    <w:rsid w:val="004441F8"/>
    <w:rsid w:val="004521FD"/>
    <w:rsid w:val="00454253"/>
    <w:rsid w:val="00456B77"/>
    <w:rsid w:val="0045798F"/>
    <w:rsid w:val="0046199E"/>
    <w:rsid w:val="0046352D"/>
    <w:rsid w:val="00463F02"/>
    <w:rsid w:val="00463F83"/>
    <w:rsid w:val="00465CB3"/>
    <w:rsid w:val="004672B6"/>
    <w:rsid w:val="00470BCF"/>
    <w:rsid w:val="004710FE"/>
    <w:rsid w:val="004719B1"/>
    <w:rsid w:val="00471D8B"/>
    <w:rsid w:val="0047428E"/>
    <w:rsid w:val="00475F6E"/>
    <w:rsid w:val="004771B7"/>
    <w:rsid w:val="00480743"/>
    <w:rsid w:val="00486DBF"/>
    <w:rsid w:val="00490925"/>
    <w:rsid w:val="00495116"/>
    <w:rsid w:val="0049526A"/>
    <w:rsid w:val="0049527E"/>
    <w:rsid w:val="004959D3"/>
    <w:rsid w:val="00497B17"/>
    <w:rsid w:val="004A1579"/>
    <w:rsid w:val="004A3040"/>
    <w:rsid w:val="004A332D"/>
    <w:rsid w:val="004A419A"/>
    <w:rsid w:val="004A4BA3"/>
    <w:rsid w:val="004A613E"/>
    <w:rsid w:val="004A7C39"/>
    <w:rsid w:val="004B32C3"/>
    <w:rsid w:val="004B32F1"/>
    <w:rsid w:val="004B4C91"/>
    <w:rsid w:val="004C5A37"/>
    <w:rsid w:val="004C7AE8"/>
    <w:rsid w:val="004D3434"/>
    <w:rsid w:val="004D6355"/>
    <w:rsid w:val="004D717D"/>
    <w:rsid w:val="004E3198"/>
    <w:rsid w:val="004E3675"/>
    <w:rsid w:val="004E376B"/>
    <w:rsid w:val="004E53A9"/>
    <w:rsid w:val="004F0366"/>
    <w:rsid w:val="004F2828"/>
    <w:rsid w:val="004F4CA5"/>
    <w:rsid w:val="004F58C4"/>
    <w:rsid w:val="004F62FD"/>
    <w:rsid w:val="0050112A"/>
    <w:rsid w:val="00501315"/>
    <w:rsid w:val="00501698"/>
    <w:rsid w:val="00505565"/>
    <w:rsid w:val="00507255"/>
    <w:rsid w:val="0051177C"/>
    <w:rsid w:val="00511C4C"/>
    <w:rsid w:val="00513274"/>
    <w:rsid w:val="00513275"/>
    <w:rsid w:val="00515E73"/>
    <w:rsid w:val="00517FBB"/>
    <w:rsid w:val="005201E3"/>
    <w:rsid w:val="00522289"/>
    <w:rsid w:val="0052484E"/>
    <w:rsid w:val="00525CAB"/>
    <w:rsid w:val="00527C78"/>
    <w:rsid w:val="00531040"/>
    <w:rsid w:val="0053353A"/>
    <w:rsid w:val="00535789"/>
    <w:rsid w:val="00541071"/>
    <w:rsid w:val="005439EE"/>
    <w:rsid w:val="005467AE"/>
    <w:rsid w:val="00547498"/>
    <w:rsid w:val="00547685"/>
    <w:rsid w:val="00547B34"/>
    <w:rsid w:val="00547B75"/>
    <w:rsid w:val="0055207A"/>
    <w:rsid w:val="00553704"/>
    <w:rsid w:val="00553AB2"/>
    <w:rsid w:val="005555F2"/>
    <w:rsid w:val="00555DFC"/>
    <w:rsid w:val="00560651"/>
    <w:rsid w:val="005670D1"/>
    <w:rsid w:val="00570BD0"/>
    <w:rsid w:val="00571280"/>
    <w:rsid w:val="005712E4"/>
    <w:rsid w:val="00573AC2"/>
    <w:rsid w:val="00574C60"/>
    <w:rsid w:val="00575AC8"/>
    <w:rsid w:val="0057673A"/>
    <w:rsid w:val="00576D0A"/>
    <w:rsid w:val="00577BD5"/>
    <w:rsid w:val="00581925"/>
    <w:rsid w:val="00583B8B"/>
    <w:rsid w:val="005843CF"/>
    <w:rsid w:val="00585094"/>
    <w:rsid w:val="0058671C"/>
    <w:rsid w:val="005915FE"/>
    <w:rsid w:val="00591909"/>
    <w:rsid w:val="00594184"/>
    <w:rsid w:val="00597716"/>
    <w:rsid w:val="005A571A"/>
    <w:rsid w:val="005B0B64"/>
    <w:rsid w:val="005B1339"/>
    <w:rsid w:val="005B2220"/>
    <w:rsid w:val="005B36AB"/>
    <w:rsid w:val="005B3A7E"/>
    <w:rsid w:val="005B45CA"/>
    <w:rsid w:val="005C18DA"/>
    <w:rsid w:val="005C44B3"/>
    <w:rsid w:val="005C6464"/>
    <w:rsid w:val="005C75DE"/>
    <w:rsid w:val="005D073B"/>
    <w:rsid w:val="005D0FF6"/>
    <w:rsid w:val="005D3238"/>
    <w:rsid w:val="005D3A71"/>
    <w:rsid w:val="005E0DF9"/>
    <w:rsid w:val="005E5140"/>
    <w:rsid w:val="005F1BAF"/>
    <w:rsid w:val="005F21A0"/>
    <w:rsid w:val="0060099A"/>
    <w:rsid w:val="00602F8B"/>
    <w:rsid w:val="00603D59"/>
    <w:rsid w:val="00604EC7"/>
    <w:rsid w:val="00606A6A"/>
    <w:rsid w:val="00607A67"/>
    <w:rsid w:val="006115CB"/>
    <w:rsid w:val="006130E9"/>
    <w:rsid w:val="006130F2"/>
    <w:rsid w:val="006132D1"/>
    <w:rsid w:val="00613C79"/>
    <w:rsid w:val="00615607"/>
    <w:rsid w:val="006160CC"/>
    <w:rsid w:val="0062027A"/>
    <w:rsid w:val="00620387"/>
    <w:rsid w:val="00620F6C"/>
    <w:rsid w:val="00621D94"/>
    <w:rsid w:val="00622104"/>
    <w:rsid w:val="006317B4"/>
    <w:rsid w:val="006320DD"/>
    <w:rsid w:val="006326B5"/>
    <w:rsid w:val="006357F7"/>
    <w:rsid w:val="00637280"/>
    <w:rsid w:val="00637E88"/>
    <w:rsid w:val="006426F2"/>
    <w:rsid w:val="006453D7"/>
    <w:rsid w:val="00646697"/>
    <w:rsid w:val="00646C63"/>
    <w:rsid w:val="00650D61"/>
    <w:rsid w:val="00651336"/>
    <w:rsid w:val="006555C1"/>
    <w:rsid w:val="00660C3E"/>
    <w:rsid w:val="0066397F"/>
    <w:rsid w:val="0066659B"/>
    <w:rsid w:val="00667B9E"/>
    <w:rsid w:val="00667D09"/>
    <w:rsid w:val="00676117"/>
    <w:rsid w:val="00677BF7"/>
    <w:rsid w:val="006808D1"/>
    <w:rsid w:val="00681BCE"/>
    <w:rsid w:val="00682000"/>
    <w:rsid w:val="0068429C"/>
    <w:rsid w:val="00686FBA"/>
    <w:rsid w:val="00691D8F"/>
    <w:rsid w:val="00692271"/>
    <w:rsid w:val="00692C33"/>
    <w:rsid w:val="00693EB4"/>
    <w:rsid w:val="00695030"/>
    <w:rsid w:val="006A1FEE"/>
    <w:rsid w:val="006A304B"/>
    <w:rsid w:val="006A529A"/>
    <w:rsid w:val="006B0E1F"/>
    <w:rsid w:val="006B1DB5"/>
    <w:rsid w:val="006B298A"/>
    <w:rsid w:val="006B39FA"/>
    <w:rsid w:val="006B5A1D"/>
    <w:rsid w:val="006C3F0C"/>
    <w:rsid w:val="006C4474"/>
    <w:rsid w:val="006D3485"/>
    <w:rsid w:val="006E0851"/>
    <w:rsid w:val="006E0B18"/>
    <w:rsid w:val="006E0E44"/>
    <w:rsid w:val="006E4CC0"/>
    <w:rsid w:val="006E7C0D"/>
    <w:rsid w:val="006F005C"/>
    <w:rsid w:val="006F114B"/>
    <w:rsid w:val="006F1D1B"/>
    <w:rsid w:val="006F2686"/>
    <w:rsid w:val="006F57CC"/>
    <w:rsid w:val="006F5902"/>
    <w:rsid w:val="0070148B"/>
    <w:rsid w:val="00703FCA"/>
    <w:rsid w:val="00705106"/>
    <w:rsid w:val="00706B66"/>
    <w:rsid w:val="0070739D"/>
    <w:rsid w:val="0070750F"/>
    <w:rsid w:val="00713177"/>
    <w:rsid w:val="007137D7"/>
    <w:rsid w:val="0071762C"/>
    <w:rsid w:val="00717C7E"/>
    <w:rsid w:val="00721385"/>
    <w:rsid w:val="00725837"/>
    <w:rsid w:val="00731F06"/>
    <w:rsid w:val="00735920"/>
    <w:rsid w:val="0073596E"/>
    <w:rsid w:val="00736278"/>
    <w:rsid w:val="00736A01"/>
    <w:rsid w:val="007406DE"/>
    <w:rsid w:val="00740B08"/>
    <w:rsid w:val="00741CAF"/>
    <w:rsid w:val="007449B9"/>
    <w:rsid w:val="00744B3B"/>
    <w:rsid w:val="00744EFE"/>
    <w:rsid w:val="007461B8"/>
    <w:rsid w:val="007465C4"/>
    <w:rsid w:val="00747662"/>
    <w:rsid w:val="00751893"/>
    <w:rsid w:val="00751FB2"/>
    <w:rsid w:val="0075406B"/>
    <w:rsid w:val="00756F75"/>
    <w:rsid w:val="007601E9"/>
    <w:rsid w:val="007601FB"/>
    <w:rsid w:val="007604E2"/>
    <w:rsid w:val="007631D2"/>
    <w:rsid w:val="00764C15"/>
    <w:rsid w:val="0076503E"/>
    <w:rsid w:val="007651C0"/>
    <w:rsid w:val="00771063"/>
    <w:rsid w:val="00771F35"/>
    <w:rsid w:val="007823E8"/>
    <w:rsid w:val="00784A9D"/>
    <w:rsid w:val="00785888"/>
    <w:rsid w:val="00787073"/>
    <w:rsid w:val="00793E90"/>
    <w:rsid w:val="007946F5"/>
    <w:rsid w:val="00795825"/>
    <w:rsid w:val="00795CAA"/>
    <w:rsid w:val="00796C0C"/>
    <w:rsid w:val="007A47FB"/>
    <w:rsid w:val="007A4873"/>
    <w:rsid w:val="007B09EF"/>
    <w:rsid w:val="007B24D1"/>
    <w:rsid w:val="007B2CD4"/>
    <w:rsid w:val="007B49C0"/>
    <w:rsid w:val="007B6A11"/>
    <w:rsid w:val="007B6D01"/>
    <w:rsid w:val="007C046A"/>
    <w:rsid w:val="007C39B3"/>
    <w:rsid w:val="007C4371"/>
    <w:rsid w:val="007C5281"/>
    <w:rsid w:val="007C65B7"/>
    <w:rsid w:val="007C778F"/>
    <w:rsid w:val="007D34C3"/>
    <w:rsid w:val="007D7396"/>
    <w:rsid w:val="007D7967"/>
    <w:rsid w:val="007E29C9"/>
    <w:rsid w:val="007E2B71"/>
    <w:rsid w:val="007E4844"/>
    <w:rsid w:val="007E57D3"/>
    <w:rsid w:val="007E6903"/>
    <w:rsid w:val="007E6FC6"/>
    <w:rsid w:val="007E6FE7"/>
    <w:rsid w:val="007E73EE"/>
    <w:rsid w:val="007F2AD0"/>
    <w:rsid w:val="007F369D"/>
    <w:rsid w:val="007F3EA3"/>
    <w:rsid w:val="007F56E3"/>
    <w:rsid w:val="007F57E8"/>
    <w:rsid w:val="007F71A1"/>
    <w:rsid w:val="007F7ABB"/>
    <w:rsid w:val="008000BA"/>
    <w:rsid w:val="0080210F"/>
    <w:rsid w:val="0080538C"/>
    <w:rsid w:val="008064A3"/>
    <w:rsid w:val="0080784A"/>
    <w:rsid w:val="00813817"/>
    <w:rsid w:val="00816621"/>
    <w:rsid w:val="00821297"/>
    <w:rsid w:val="008221F9"/>
    <w:rsid w:val="00824647"/>
    <w:rsid w:val="00832095"/>
    <w:rsid w:val="00832740"/>
    <w:rsid w:val="008330F0"/>
    <w:rsid w:val="0083498B"/>
    <w:rsid w:val="0083755F"/>
    <w:rsid w:val="008377FF"/>
    <w:rsid w:val="008400C6"/>
    <w:rsid w:val="00840409"/>
    <w:rsid w:val="00845CA3"/>
    <w:rsid w:val="00846824"/>
    <w:rsid w:val="00850ABE"/>
    <w:rsid w:val="00851004"/>
    <w:rsid w:val="008516E1"/>
    <w:rsid w:val="0085183A"/>
    <w:rsid w:val="008520BC"/>
    <w:rsid w:val="0085484F"/>
    <w:rsid w:val="008623D7"/>
    <w:rsid w:val="00862B65"/>
    <w:rsid w:val="0086595B"/>
    <w:rsid w:val="00866557"/>
    <w:rsid w:val="00867ECE"/>
    <w:rsid w:val="008708F3"/>
    <w:rsid w:val="00870F90"/>
    <w:rsid w:val="008716C3"/>
    <w:rsid w:val="00872E7A"/>
    <w:rsid w:val="008749E9"/>
    <w:rsid w:val="00875E57"/>
    <w:rsid w:val="0087734B"/>
    <w:rsid w:val="00881999"/>
    <w:rsid w:val="00881B86"/>
    <w:rsid w:val="008823C9"/>
    <w:rsid w:val="008826B8"/>
    <w:rsid w:val="00882924"/>
    <w:rsid w:val="008836D9"/>
    <w:rsid w:val="00883F33"/>
    <w:rsid w:val="00883FA1"/>
    <w:rsid w:val="008843EE"/>
    <w:rsid w:val="00885875"/>
    <w:rsid w:val="00886DE6"/>
    <w:rsid w:val="0089224F"/>
    <w:rsid w:val="008936FC"/>
    <w:rsid w:val="008968E1"/>
    <w:rsid w:val="008A0250"/>
    <w:rsid w:val="008A03C3"/>
    <w:rsid w:val="008A1C6B"/>
    <w:rsid w:val="008A7327"/>
    <w:rsid w:val="008B0832"/>
    <w:rsid w:val="008B1368"/>
    <w:rsid w:val="008B2F3B"/>
    <w:rsid w:val="008B58F7"/>
    <w:rsid w:val="008B677E"/>
    <w:rsid w:val="008B6CBC"/>
    <w:rsid w:val="008B7F4C"/>
    <w:rsid w:val="008C1722"/>
    <w:rsid w:val="008C3210"/>
    <w:rsid w:val="008C3E68"/>
    <w:rsid w:val="008C48FC"/>
    <w:rsid w:val="008C582E"/>
    <w:rsid w:val="008C6001"/>
    <w:rsid w:val="008C6869"/>
    <w:rsid w:val="008C6885"/>
    <w:rsid w:val="008C72E4"/>
    <w:rsid w:val="008C782A"/>
    <w:rsid w:val="008D0CCF"/>
    <w:rsid w:val="008D2FB6"/>
    <w:rsid w:val="008D7E65"/>
    <w:rsid w:val="008E0F17"/>
    <w:rsid w:val="008E281D"/>
    <w:rsid w:val="008E5427"/>
    <w:rsid w:val="008F1730"/>
    <w:rsid w:val="008F2AE5"/>
    <w:rsid w:val="008F36D4"/>
    <w:rsid w:val="008F3B11"/>
    <w:rsid w:val="008F6E7D"/>
    <w:rsid w:val="00901D9D"/>
    <w:rsid w:val="00903A95"/>
    <w:rsid w:val="00905DCC"/>
    <w:rsid w:val="00906F16"/>
    <w:rsid w:val="00907E02"/>
    <w:rsid w:val="009100A7"/>
    <w:rsid w:val="009102D2"/>
    <w:rsid w:val="00910778"/>
    <w:rsid w:val="00910824"/>
    <w:rsid w:val="009122A0"/>
    <w:rsid w:val="0091269D"/>
    <w:rsid w:val="00912E67"/>
    <w:rsid w:val="00912F24"/>
    <w:rsid w:val="00916E76"/>
    <w:rsid w:val="009175F0"/>
    <w:rsid w:val="0092129E"/>
    <w:rsid w:val="009214E2"/>
    <w:rsid w:val="0092457B"/>
    <w:rsid w:val="0093201B"/>
    <w:rsid w:val="00932BE4"/>
    <w:rsid w:val="009333E1"/>
    <w:rsid w:val="00934DA0"/>
    <w:rsid w:val="0093608C"/>
    <w:rsid w:val="00937D36"/>
    <w:rsid w:val="009406EE"/>
    <w:rsid w:val="009408EF"/>
    <w:rsid w:val="0094255A"/>
    <w:rsid w:val="00952561"/>
    <w:rsid w:val="0095529F"/>
    <w:rsid w:val="00955B69"/>
    <w:rsid w:val="009601F5"/>
    <w:rsid w:val="00960AAE"/>
    <w:rsid w:val="00962539"/>
    <w:rsid w:val="009712F0"/>
    <w:rsid w:val="00972067"/>
    <w:rsid w:val="00972E7B"/>
    <w:rsid w:val="00974B19"/>
    <w:rsid w:val="00974B59"/>
    <w:rsid w:val="0097598E"/>
    <w:rsid w:val="009760F3"/>
    <w:rsid w:val="0097683C"/>
    <w:rsid w:val="00980D1B"/>
    <w:rsid w:val="00985039"/>
    <w:rsid w:val="009910AC"/>
    <w:rsid w:val="00991350"/>
    <w:rsid w:val="0099246A"/>
    <w:rsid w:val="00992C33"/>
    <w:rsid w:val="00992E05"/>
    <w:rsid w:val="00994E38"/>
    <w:rsid w:val="009A3054"/>
    <w:rsid w:val="009A4757"/>
    <w:rsid w:val="009A5711"/>
    <w:rsid w:val="009B3914"/>
    <w:rsid w:val="009B4E82"/>
    <w:rsid w:val="009B5556"/>
    <w:rsid w:val="009B6696"/>
    <w:rsid w:val="009C01B4"/>
    <w:rsid w:val="009C2000"/>
    <w:rsid w:val="009C507D"/>
    <w:rsid w:val="009D1F57"/>
    <w:rsid w:val="009D22E6"/>
    <w:rsid w:val="009D2F7E"/>
    <w:rsid w:val="009D31C9"/>
    <w:rsid w:val="009D3474"/>
    <w:rsid w:val="009D357C"/>
    <w:rsid w:val="009D5485"/>
    <w:rsid w:val="009E02D7"/>
    <w:rsid w:val="009E1DF3"/>
    <w:rsid w:val="009E271A"/>
    <w:rsid w:val="009E340E"/>
    <w:rsid w:val="009E5BC7"/>
    <w:rsid w:val="009E7853"/>
    <w:rsid w:val="009F010A"/>
    <w:rsid w:val="009F093A"/>
    <w:rsid w:val="009F0B32"/>
    <w:rsid w:val="009F40B6"/>
    <w:rsid w:val="009F6FFC"/>
    <w:rsid w:val="00A00DEF"/>
    <w:rsid w:val="00A00F8A"/>
    <w:rsid w:val="00A021A3"/>
    <w:rsid w:val="00A02F25"/>
    <w:rsid w:val="00A02F4A"/>
    <w:rsid w:val="00A03185"/>
    <w:rsid w:val="00A03DDD"/>
    <w:rsid w:val="00A079A7"/>
    <w:rsid w:val="00A07A2C"/>
    <w:rsid w:val="00A1187C"/>
    <w:rsid w:val="00A12028"/>
    <w:rsid w:val="00A12884"/>
    <w:rsid w:val="00A145F2"/>
    <w:rsid w:val="00A149BA"/>
    <w:rsid w:val="00A14F98"/>
    <w:rsid w:val="00A16AD5"/>
    <w:rsid w:val="00A266AA"/>
    <w:rsid w:val="00A31EA6"/>
    <w:rsid w:val="00A3350A"/>
    <w:rsid w:val="00A40B06"/>
    <w:rsid w:val="00A458B3"/>
    <w:rsid w:val="00A46BBA"/>
    <w:rsid w:val="00A46CAC"/>
    <w:rsid w:val="00A52384"/>
    <w:rsid w:val="00A533A8"/>
    <w:rsid w:val="00A56741"/>
    <w:rsid w:val="00A568FD"/>
    <w:rsid w:val="00A653EA"/>
    <w:rsid w:val="00A67530"/>
    <w:rsid w:val="00A71379"/>
    <w:rsid w:val="00A718A9"/>
    <w:rsid w:val="00A7318E"/>
    <w:rsid w:val="00A73D05"/>
    <w:rsid w:val="00A746D5"/>
    <w:rsid w:val="00A74D34"/>
    <w:rsid w:val="00A75E01"/>
    <w:rsid w:val="00A775D0"/>
    <w:rsid w:val="00A83943"/>
    <w:rsid w:val="00A84A0F"/>
    <w:rsid w:val="00A8548E"/>
    <w:rsid w:val="00A863E5"/>
    <w:rsid w:val="00A866DE"/>
    <w:rsid w:val="00A913F4"/>
    <w:rsid w:val="00A95347"/>
    <w:rsid w:val="00A95579"/>
    <w:rsid w:val="00A95F4B"/>
    <w:rsid w:val="00A963E7"/>
    <w:rsid w:val="00AA06CE"/>
    <w:rsid w:val="00AA3061"/>
    <w:rsid w:val="00AA369E"/>
    <w:rsid w:val="00AA411A"/>
    <w:rsid w:val="00AA697C"/>
    <w:rsid w:val="00AA6BE6"/>
    <w:rsid w:val="00AA72EB"/>
    <w:rsid w:val="00AA7F27"/>
    <w:rsid w:val="00AB0031"/>
    <w:rsid w:val="00AB152D"/>
    <w:rsid w:val="00AB51C6"/>
    <w:rsid w:val="00AC0E19"/>
    <w:rsid w:val="00AC106A"/>
    <w:rsid w:val="00AC3999"/>
    <w:rsid w:val="00AC39CC"/>
    <w:rsid w:val="00AC6197"/>
    <w:rsid w:val="00AD2913"/>
    <w:rsid w:val="00AD49C8"/>
    <w:rsid w:val="00AE225A"/>
    <w:rsid w:val="00AE25DF"/>
    <w:rsid w:val="00AE28EB"/>
    <w:rsid w:val="00AE3B4D"/>
    <w:rsid w:val="00AE6A54"/>
    <w:rsid w:val="00AE6EF8"/>
    <w:rsid w:val="00AF0D29"/>
    <w:rsid w:val="00AF1D46"/>
    <w:rsid w:val="00AF2CD7"/>
    <w:rsid w:val="00AF2F6D"/>
    <w:rsid w:val="00AF47D7"/>
    <w:rsid w:val="00B005F1"/>
    <w:rsid w:val="00B021D0"/>
    <w:rsid w:val="00B02241"/>
    <w:rsid w:val="00B02BE2"/>
    <w:rsid w:val="00B05207"/>
    <w:rsid w:val="00B05DED"/>
    <w:rsid w:val="00B07786"/>
    <w:rsid w:val="00B07E14"/>
    <w:rsid w:val="00B106A1"/>
    <w:rsid w:val="00B11299"/>
    <w:rsid w:val="00B11B1B"/>
    <w:rsid w:val="00B16DE6"/>
    <w:rsid w:val="00B17BD3"/>
    <w:rsid w:val="00B200D1"/>
    <w:rsid w:val="00B2011E"/>
    <w:rsid w:val="00B213EC"/>
    <w:rsid w:val="00B254D3"/>
    <w:rsid w:val="00B32AA5"/>
    <w:rsid w:val="00B33CE7"/>
    <w:rsid w:val="00B35FEF"/>
    <w:rsid w:val="00B36CA4"/>
    <w:rsid w:val="00B413CC"/>
    <w:rsid w:val="00B45CC8"/>
    <w:rsid w:val="00B4743B"/>
    <w:rsid w:val="00B512E9"/>
    <w:rsid w:val="00B52A7C"/>
    <w:rsid w:val="00B5583C"/>
    <w:rsid w:val="00B56A1E"/>
    <w:rsid w:val="00B56C73"/>
    <w:rsid w:val="00B57B9E"/>
    <w:rsid w:val="00B607B3"/>
    <w:rsid w:val="00B6212B"/>
    <w:rsid w:val="00B62E25"/>
    <w:rsid w:val="00B65740"/>
    <w:rsid w:val="00B6687F"/>
    <w:rsid w:val="00B674BA"/>
    <w:rsid w:val="00B67719"/>
    <w:rsid w:val="00B70813"/>
    <w:rsid w:val="00B745FE"/>
    <w:rsid w:val="00B75057"/>
    <w:rsid w:val="00B76422"/>
    <w:rsid w:val="00B81D3D"/>
    <w:rsid w:val="00B90E82"/>
    <w:rsid w:val="00B91137"/>
    <w:rsid w:val="00B93984"/>
    <w:rsid w:val="00BA5D52"/>
    <w:rsid w:val="00BA60CB"/>
    <w:rsid w:val="00BB0A98"/>
    <w:rsid w:val="00BB351A"/>
    <w:rsid w:val="00BB7B12"/>
    <w:rsid w:val="00BC1CA7"/>
    <w:rsid w:val="00BC1E01"/>
    <w:rsid w:val="00BC2994"/>
    <w:rsid w:val="00BC4739"/>
    <w:rsid w:val="00BC5ABF"/>
    <w:rsid w:val="00BC5DC2"/>
    <w:rsid w:val="00BD0482"/>
    <w:rsid w:val="00BD1D55"/>
    <w:rsid w:val="00BD3A5D"/>
    <w:rsid w:val="00BD5375"/>
    <w:rsid w:val="00BD5DFE"/>
    <w:rsid w:val="00BD5E22"/>
    <w:rsid w:val="00BD622D"/>
    <w:rsid w:val="00BD780D"/>
    <w:rsid w:val="00BE06CE"/>
    <w:rsid w:val="00BE0D68"/>
    <w:rsid w:val="00BE1EF0"/>
    <w:rsid w:val="00BE1EFA"/>
    <w:rsid w:val="00BE255F"/>
    <w:rsid w:val="00BE2966"/>
    <w:rsid w:val="00BE47B0"/>
    <w:rsid w:val="00BF0917"/>
    <w:rsid w:val="00BF1E6A"/>
    <w:rsid w:val="00BF41FC"/>
    <w:rsid w:val="00BF4219"/>
    <w:rsid w:val="00BF6719"/>
    <w:rsid w:val="00C0253E"/>
    <w:rsid w:val="00C05BDF"/>
    <w:rsid w:val="00C06385"/>
    <w:rsid w:val="00C06E2B"/>
    <w:rsid w:val="00C0797B"/>
    <w:rsid w:val="00C12612"/>
    <w:rsid w:val="00C13D72"/>
    <w:rsid w:val="00C215E0"/>
    <w:rsid w:val="00C21CAD"/>
    <w:rsid w:val="00C22513"/>
    <w:rsid w:val="00C23CA8"/>
    <w:rsid w:val="00C2462F"/>
    <w:rsid w:val="00C247CA"/>
    <w:rsid w:val="00C25A49"/>
    <w:rsid w:val="00C276D0"/>
    <w:rsid w:val="00C3073B"/>
    <w:rsid w:val="00C31623"/>
    <w:rsid w:val="00C32135"/>
    <w:rsid w:val="00C3541C"/>
    <w:rsid w:val="00C4066B"/>
    <w:rsid w:val="00C406CB"/>
    <w:rsid w:val="00C40B2D"/>
    <w:rsid w:val="00C4137A"/>
    <w:rsid w:val="00C4313C"/>
    <w:rsid w:val="00C502AF"/>
    <w:rsid w:val="00C538C6"/>
    <w:rsid w:val="00C54020"/>
    <w:rsid w:val="00C542FA"/>
    <w:rsid w:val="00C56A00"/>
    <w:rsid w:val="00C57333"/>
    <w:rsid w:val="00C60976"/>
    <w:rsid w:val="00C60B36"/>
    <w:rsid w:val="00C61557"/>
    <w:rsid w:val="00C61900"/>
    <w:rsid w:val="00C61943"/>
    <w:rsid w:val="00C64794"/>
    <w:rsid w:val="00C64C2E"/>
    <w:rsid w:val="00C67113"/>
    <w:rsid w:val="00C720FA"/>
    <w:rsid w:val="00C72498"/>
    <w:rsid w:val="00C73BF8"/>
    <w:rsid w:val="00C7749D"/>
    <w:rsid w:val="00C777BF"/>
    <w:rsid w:val="00C80796"/>
    <w:rsid w:val="00C83A79"/>
    <w:rsid w:val="00C84293"/>
    <w:rsid w:val="00C85809"/>
    <w:rsid w:val="00C85E76"/>
    <w:rsid w:val="00C87B1C"/>
    <w:rsid w:val="00C9385A"/>
    <w:rsid w:val="00C97B3E"/>
    <w:rsid w:val="00CA1BA8"/>
    <w:rsid w:val="00CA2053"/>
    <w:rsid w:val="00CA2589"/>
    <w:rsid w:val="00CA56DE"/>
    <w:rsid w:val="00CA61D7"/>
    <w:rsid w:val="00CA70F1"/>
    <w:rsid w:val="00CA7EDB"/>
    <w:rsid w:val="00CB051A"/>
    <w:rsid w:val="00CB0AA4"/>
    <w:rsid w:val="00CB2CFB"/>
    <w:rsid w:val="00CB416B"/>
    <w:rsid w:val="00CB4E47"/>
    <w:rsid w:val="00CB691D"/>
    <w:rsid w:val="00CC3955"/>
    <w:rsid w:val="00CC4102"/>
    <w:rsid w:val="00CD1FBA"/>
    <w:rsid w:val="00CD3993"/>
    <w:rsid w:val="00CD39B6"/>
    <w:rsid w:val="00CD3A5F"/>
    <w:rsid w:val="00CD68B6"/>
    <w:rsid w:val="00CD6F01"/>
    <w:rsid w:val="00CE2CAB"/>
    <w:rsid w:val="00CE381F"/>
    <w:rsid w:val="00CE3A63"/>
    <w:rsid w:val="00CF04A1"/>
    <w:rsid w:val="00CF0532"/>
    <w:rsid w:val="00CF3B40"/>
    <w:rsid w:val="00D0282A"/>
    <w:rsid w:val="00D1364A"/>
    <w:rsid w:val="00D13955"/>
    <w:rsid w:val="00D13B4C"/>
    <w:rsid w:val="00D162DD"/>
    <w:rsid w:val="00D2581D"/>
    <w:rsid w:val="00D32A4E"/>
    <w:rsid w:val="00D32A96"/>
    <w:rsid w:val="00D332C8"/>
    <w:rsid w:val="00D41DB3"/>
    <w:rsid w:val="00D433F8"/>
    <w:rsid w:val="00D43FD0"/>
    <w:rsid w:val="00D451A8"/>
    <w:rsid w:val="00D47A3C"/>
    <w:rsid w:val="00D47BA4"/>
    <w:rsid w:val="00D47DC7"/>
    <w:rsid w:val="00D525E3"/>
    <w:rsid w:val="00D55FD2"/>
    <w:rsid w:val="00D57A46"/>
    <w:rsid w:val="00D6066F"/>
    <w:rsid w:val="00D60799"/>
    <w:rsid w:val="00D640D5"/>
    <w:rsid w:val="00D645A3"/>
    <w:rsid w:val="00D64808"/>
    <w:rsid w:val="00D66159"/>
    <w:rsid w:val="00D67170"/>
    <w:rsid w:val="00D712A2"/>
    <w:rsid w:val="00D728CA"/>
    <w:rsid w:val="00D73889"/>
    <w:rsid w:val="00D748FF"/>
    <w:rsid w:val="00D75F18"/>
    <w:rsid w:val="00D801C7"/>
    <w:rsid w:val="00D821AD"/>
    <w:rsid w:val="00D844FC"/>
    <w:rsid w:val="00D90E71"/>
    <w:rsid w:val="00D90EAD"/>
    <w:rsid w:val="00D92447"/>
    <w:rsid w:val="00D938D7"/>
    <w:rsid w:val="00D941A9"/>
    <w:rsid w:val="00DA02C9"/>
    <w:rsid w:val="00DA13DA"/>
    <w:rsid w:val="00DA2955"/>
    <w:rsid w:val="00DA2F55"/>
    <w:rsid w:val="00DA46A6"/>
    <w:rsid w:val="00DA6739"/>
    <w:rsid w:val="00DA7107"/>
    <w:rsid w:val="00DB097C"/>
    <w:rsid w:val="00DB1CEC"/>
    <w:rsid w:val="00DB2189"/>
    <w:rsid w:val="00DB37C6"/>
    <w:rsid w:val="00DB5DB0"/>
    <w:rsid w:val="00DB6BD5"/>
    <w:rsid w:val="00DC0D10"/>
    <w:rsid w:val="00DC1E39"/>
    <w:rsid w:val="00DC2167"/>
    <w:rsid w:val="00DC3E08"/>
    <w:rsid w:val="00DC5CBB"/>
    <w:rsid w:val="00DC7215"/>
    <w:rsid w:val="00DD1498"/>
    <w:rsid w:val="00DD3305"/>
    <w:rsid w:val="00DD335D"/>
    <w:rsid w:val="00DD5F17"/>
    <w:rsid w:val="00DD7296"/>
    <w:rsid w:val="00DD7E73"/>
    <w:rsid w:val="00DE0098"/>
    <w:rsid w:val="00DE23DA"/>
    <w:rsid w:val="00DE3F0F"/>
    <w:rsid w:val="00DE5D4D"/>
    <w:rsid w:val="00DE5DB7"/>
    <w:rsid w:val="00DE6EFD"/>
    <w:rsid w:val="00DE719F"/>
    <w:rsid w:val="00DF0EFB"/>
    <w:rsid w:val="00DF3257"/>
    <w:rsid w:val="00DF359D"/>
    <w:rsid w:val="00DF590F"/>
    <w:rsid w:val="00DF7F61"/>
    <w:rsid w:val="00E00281"/>
    <w:rsid w:val="00E0089C"/>
    <w:rsid w:val="00E01ECD"/>
    <w:rsid w:val="00E02ABA"/>
    <w:rsid w:val="00E03CA5"/>
    <w:rsid w:val="00E05562"/>
    <w:rsid w:val="00E06333"/>
    <w:rsid w:val="00E07F3F"/>
    <w:rsid w:val="00E11534"/>
    <w:rsid w:val="00E155E8"/>
    <w:rsid w:val="00E1680E"/>
    <w:rsid w:val="00E17308"/>
    <w:rsid w:val="00E201A1"/>
    <w:rsid w:val="00E20CC5"/>
    <w:rsid w:val="00E24E62"/>
    <w:rsid w:val="00E252CA"/>
    <w:rsid w:val="00E26A59"/>
    <w:rsid w:val="00E26D7D"/>
    <w:rsid w:val="00E2740B"/>
    <w:rsid w:val="00E300C2"/>
    <w:rsid w:val="00E31860"/>
    <w:rsid w:val="00E34B52"/>
    <w:rsid w:val="00E3738C"/>
    <w:rsid w:val="00E3743D"/>
    <w:rsid w:val="00E4112B"/>
    <w:rsid w:val="00E43B24"/>
    <w:rsid w:val="00E45E9E"/>
    <w:rsid w:val="00E46BFA"/>
    <w:rsid w:val="00E476EB"/>
    <w:rsid w:val="00E52DEC"/>
    <w:rsid w:val="00E5698D"/>
    <w:rsid w:val="00E57BB4"/>
    <w:rsid w:val="00E60643"/>
    <w:rsid w:val="00E61650"/>
    <w:rsid w:val="00E62073"/>
    <w:rsid w:val="00E63B3E"/>
    <w:rsid w:val="00E641FF"/>
    <w:rsid w:val="00E64792"/>
    <w:rsid w:val="00E65267"/>
    <w:rsid w:val="00E65C29"/>
    <w:rsid w:val="00E663E6"/>
    <w:rsid w:val="00E66D33"/>
    <w:rsid w:val="00E70B2F"/>
    <w:rsid w:val="00E71502"/>
    <w:rsid w:val="00E71D3B"/>
    <w:rsid w:val="00E721AB"/>
    <w:rsid w:val="00E7323A"/>
    <w:rsid w:val="00E76C48"/>
    <w:rsid w:val="00E775C6"/>
    <w:rsid w:val="00E809D3"/>
    <w:rsid w:val="00E819AF"/>
    <w:rsid w:val="00E81DC5"/>
    <w:rsid w:val="00E82B6C"/>
    <w:rsid w:val="00E82B81"/>
    <w:rsid w:val="00E84596"/>
    <w:rsid w:val="00E852FC"/>
    <w:rsid w:val="00E8540E"/>
    <w:rsid w:val="00E87566"/>
    <w:rsid w:val="00E90242"/>
    <w:rsid w:val="00E91144"/>
    <w:rsid w:val="00E911BB"/>
    <w:rsid w:val="00E93BE1"/>
    <w:rsid w:val="00E93EB6"/>
    <w:rsid w:val="00E96B35"/>
    <w:rsid w:val="00E971A7"/>
    <w:rsid w:val="00E972D5"/>
    <w:rsid w:val="00EA0A82"/>
    <w:rsid w:val="00EA2C60"/>
    <w:rsid w:val="00EA5A6C"/>
    <w:rsid w:val="00EA6581"/>
    <w:rsid w:val="00EA7742"/>
    <w:rsid w:val="00EB1782"/>
    <w:rsid w:val="00EB54DB"/>
    <w:rsid w:val="00EB60A8"/>
    <w:rsid w:val="00EB6731"/>
    <w:rsid w:val="00EB72EA"/>
    <w:rsid w:val="00EC074C"/>
    <w:rsid w:val="00EC1CF1"/>
    <w:rsid w:val="00EC48AE"/>
    <w:rsid w:val="00ED1ABB"/>
    <w:rsid w:val="00ED25A3"/>
    <w:rsid w:val="00ED4AE3"/>
    <w:rsid w:val="00ED6501"/>
    <w:rsid w:val="00ED7415"/>
    <w:rsid w:val="00ED7862"/>
    <w:rsid w:val="00EE0062"/>
    <w:rsid w:val="00EE14BC"/>
    <w:rsid w:val="00EE7D5F"/>
    <w:rsid w:val="00EF0FBF"/>
    <w:rsid w:val="00EF1350"/>
    <w:rsid w:val="00EF1C60"/>
    <w:rsid w:val="00EF27B4"/>
    <w:rsid w:val="00EF3280"/>
    <w:rsid w:val="00EF55F5"/>
    <w:rsid w:val="00EF691F"/>
    <w:rsid w:val="00EF6B20"/>
    <w:rsid w:val="00F03014"/>
    <w:rsid w:val="00F0696A"/>
    <w:rsid w:val="00F10D21"/>
    <w:rsid w:val="00F10F4B"/>
    <w:rsid w:val="00F12C47"/>
    <w:rsid w:val="00F14FC5"/>
    <w:rsid w:val="00F170AA"/>
    <w:rsid w:val="00F173B7"/>
    <w:rsid w:val="00F24C9B"/>
    <w:rsid w:val="00F25565"/>
    <w:rsid w:val="00F25593"/>
    <w:rsid w:val="00F309AF"/>
    <w:rsid w:val="00F30B51"/>
    <w:rsid w:val="00F31DF6"/>
    <w:rsid w:val="00F33F33"/>
    <w:rsid w:val="00F359A2"/>
    <w:rsid w:val="00F359B2"/>
    <w:rsid w:val="00F42B87"/>
    <w:rsid w:val="00F447E9"/>
    <w:rsid w:val="00F45459"/>
    <w:rsid w:val="00F46F99"/>
    <w:rsid w:val="00F512E3"/>
    <w:rsid w:val="00F514F5"/>
    <w:rsid w:val="00F51DFF"/>
    <w:rsid w:val="00F52667"/>
    <w:rsid w:val="00F53BB1"/>
    <w:rsid w:val="00F54355"/>
    <w:rsid w:val="00F54530"/>
    <w:rsid w:val="00F5639F"/>
    <w:rsid w:val="00F575D2"/>
    <w:rsid w:val="00F628DD"/>
    <w:rsid w:val="00F62CC4"/>
    <w:rsid w:val="00F64DE9"/>
    <w:rsid w:val="00F700FE"/>
    <w:rsid w:val="00F70396"/>
    <w:rsid w:val="00F7189E"/>
    <w:rsid w:val="00F72EA3"/>
    <w:rsid w:val="00F73856"/>
    <w:rsid w:val="00F76195"/>
    <w:rsid w:val="00F833BA"/>
    <w:rsid w:val="00F85711"/>
    <w:rsid w:val="00F87728"/>
    <w:rsid w:val="00F87C2D"/>
    <w:rsid w:val="00F9168F"/>
    <w:rsid w:val="00F9617E"/>
    <w:rsid w:val="00F968C4"/>
    <w:rsid w:val="00F97399"/>
    <w:rsid w:val="00FA198E"/>
    <w:rsid w:val="00FA5579"/>
    <w:rsid w:val="00FA6CC6"/>
    <w:rsid w:val="00FB052B"/>
    <w:rsid w:val="00FB165D"/>
    <w:rsid w:val="00FB2955"/>
    <w:rsid w:val="00FB484F"/>
    <w:rsid w:val="00FB6FB2"/>
    <w:rsid w:val="00FC0EF1"/>
    <w:rsid w:val="00FC1496"/>
    <w:rsid w:val="00FC552D"/>
    <w:rsid w:val="00FC6296"/>
    <w:rsid w:val="00FD2522"/>
    <w:rsid w:val="00FD3039"/>
    <w:rsid w:val="00FE4936"/>
    <w:rsid w:val="00FE4CE4"/>
    <w:rsid w:val="00FF1E70"/>
    <w:rsid w:val="00FF2A57"/>
    <w:rsid w:val="00FF3972"/>
    <w:rsid w:val="00FF6C0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6743A"/>
  <w15:docId w15:val="{A7356C77-BAC8-4E1F-A789-A343B50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69D"/>
    <w:pPr>
      <w:spacing w:after="120"/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4"/>
    <w:qFormat/>
    <w:rsid w:val="0025736A"/>
    <w:pPr>
      <w:keepNext/>
      <w:keepLines/>
      <w:numPr>
        <w:numId w:val="12"/>
      </w:numPr>
      <w:spacing w:before="600" w:after="240"/>
      <w:jc w:val="center"/>
      <w:outlineLvl w:val="0"/>
    </w:pPr>
    <w:rPr>
      <w:b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locked/>
    <w:rsid w:val="001804F4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4"/>
    <w:qFormat/>
    <w:locked/>
    <w:rsid w:val="001804F4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4"/>
    <w:qFormat/>
    <w:locked/>
    <w:rsid w:val="001804F4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4"/>
    <w:qFormat/>
    <w:locked/>
    <w:rsid w:val="001804F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4"/>
    <w:qFormat/>
    <w:locked/>
    <w:rsid w:val="001804F4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4"/>
    <w:qFormat/>
    <w:locked/>
    <w:rsid w:val="001804F4"/>
    <w:pPr>
      <w:numPr>
        <w:ilvl w:val="6"/>
        <w:numId w:val="1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4"/>
    <w:qFormat/>
    <w:locked/>
    <w:rsid w:val="001804F4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4"/>
    <w:qFormat/>
    <w:locked/>
    <w:rsid w:val="001804F4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4"/>
    <w:locked/>
    <w:rsid w:val="00AE3B4D"/>
    <w:rPr>
      <w:rFonts w:eastAsia="Times New Roman"/>
      <w:b/>
      <w:sz w:val="24"/>
      <w:szCs w:val="32"/>
    </w:rPr>
  </w:style>
  <w:style w:type="character" w:customStyle="1" w:styleId="Nadpis2Char">
    <w:name w:val="Nadpis 2 Char"/>
    <w:link w:val="Nadpis2"/>
    <w:uiPriority w:val="4"/>
    <w:locked/>
    <w:rsid w:val="00AE3B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4"/>
    <w:locked/>
    <w:rsid w:val="00AE3B4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4"/>
    <w:locked/>
    <w:rsid w:val="00AE3B4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4"/>
    <w:locked/>
    <w:rsid w:val="00AE3B4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4"/>
    <w:locked/>
    <w:rsid w:val="00AE3B4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4"/>
    <w:locked/>
    <w:rsid w:val="00AE3B4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4"/>
    <w:locked/>
    <w:rsid w:val="00AE3B4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4"/>
    <w:locked/>
    <w:rsid w:val="00AE3B4D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74B19"/>
    <w:pPr>
      <w:jc w:val="center"/>
    </w:pPr>
    <w:rPr>
      <w:sz w:val="20"/>
    </w:rPr>
  </w:style>
  <w:style w:type="character" w:customStyle="1" w:styleId="ZpatChar">
    <w:name w:val="Zápatí Char"/>
    <w:link w:val="Zpat"/>
    <w:uiPriority w:val="99"/>
    <w:locked/>
    <w:rsid w:val="00974B19"/>
    <w:rPr>
      <w:rFonts w:eastAsia="Times New Roman"/>
      <w:szCs w:val="24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uiPriority w:val="4"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uiPriority w:val="4"/>
    <w:locked/>
    <w:rsid w:val="00AE3B4D"/>
    <w:rPr>
      <w:rFonts w:ascii="Calibri Light" w:eastAsia="Times New Roman" w:hAnsi="Calibri Light"/>
      <w:b/>
      <w:spacing w:val="-10"/>
      <w:kern w:val="28"/>
      <w:sz w:val="32"/>
      <w:szCs w:val="56"/>
    </w:rPr>
  </w:style>
  <w:style w:type="paragraph" w:styleId="Bezmezer">
    <w:name w:val="No Spacing"/>
    <w:link w:val="BezmezerChar"/>
    <w:uiPriority w:val="99"/>
    <w:qFormat/>
    <w:rsid w:val="00974B19"/>
    <w:pPr>
      <w:jc w:val="both"/>
    </w:pPr>
    <w:rPr>
      <w:rFonts w:eastAsia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jc w:val="center"/>
    </w:pPr>
    <w:rPr>
      <w:b/>
    </w:rPr>
  </w:style>
  <w:style w:type="paragraph" w:customStyle="1" w:styleId="lnek">
    <w:name w:val="článek"/>
    <w:basedOn w:val="Normln"/>
    <w:link w:val="lnekChar"/>
    <w:autoRedefine/>
    <w:uiPriority w:val="99"/>
    <w:qFormat/>
    <w:rsid w:val="003542AA"/>
    <w:pPr>
      <w:numPr>
        <w:numId w:val="2"/>
      </w:numPr>
      <w:spacing w:before="240"/>
      <w:jc w:val="center"/>
    </w:pPr>
    <w:rPr>
      <w:rFonts w:eastAsia="Calibri"/>
      <w:b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qFormat/>
    <w:rsid w:val="00594184"/>
    <w:pPr>
      <w:jc w:val="center"/>
      <w:outlineLvl w:val="0"/>
    </w:pPr>
    <w:rPr>
      <w:rFonts w:eastAsia="Calibri" w:cs="Tahoma"/>
      <w:b/>
      <w:szCs w:val="22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1rovevlnku">
    <w:name w:val="1. úroveň v článku"/>
    <w:basedOn w:val="Normln"/>
    <w:link w:val="1rovevlnkuChar"/>
    <w:uiPriority w:val="99"/>
    <w:qFormat/>
    <w:rsid w:val="00E66D33"/>
    <w:pPr>
      <w:numPr>
        <w:numId w:val="4"/>
      </w:numPr>
    </w:pPr>
    <w:rPr>
      <w:rFonts w:cs="Tahoma"/>
      <w:szCs w:val="22"/>
    </w:rPr>
  </w:style>
  <w:style w:type="character" w:customStyle="1" w:styleId="NzevlnkuChar">
    <w:name w:val="Název článku Char"/>
    <w:link w:val="Nzevlnku"/>
    <w:uiPriority w:val="99"/>
    <w:locked/>
    <w:rsid w:val="00594184"/>
    <w:rPr>
      <w:rFonts w:cs="Tahoma"/>
      <w:b/>
      <w:sz w:val="24"/>
      <w:szCs w:val="22"/>
    </w:rPr>
  </w:style>
  <w:style w:type="paragraph" w:customStyle="1" w:styleId="2rovevlnku-psmena">
    <w:name w:val="2. úroveň v článku - písmena"/>
    <w:basedOn w:val="Normln"/>
    <w:link w:val="2rovevlnku-psmenaChar"/>
    <w:autoRedefine/>
    <w:uiPriority w:val="99"/>
    <w:qFormat/>
    <w:rsid w:val="0039026C"/>
    <w:pPr>
      <w:numPr>
        <w:numId w:val="23"/>
      </w:numPr>
      <w:spacing w:after="60"/>
    </w:pPr>
    <w:rPr>
      <w:rFonts w:eastAsia="Calibri"/>
      <w:szCs w:val="22"/>
    </w:rPr>
  </w:style>
  <w:style w:type="character" w:customStyle="1" w:styleId="1rovevlnkuChar">
    <w:name w:val="1. úroveň v článku Char"/>
    <w:link w:val="1rove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2rovevlnku-psmenaChar">
    <w:name w:val="2. úroveň v článku - písmena Char"/>
    <w:link w:val="2rovevlnku-psmena"/>
    <w:uiPriority w:val="99"/>
    <w:locked/>
    <w:rsid w:val="0039026C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uppressAutoHyphens/>
      <w:ind w:left="708"/>
    </w:pPr>
    <w:rPr>
      <w:rFonts w:eastAsia="Calibri"/>
      <w:lang w:eastAsia="ar-SA"/>
    </w:rPr>
  </w:style>
  <w:style w:type="character" w:styleId="Odkaznakoment">
    <w:name w:val="annotation reference"/>
    <w:uiPriority w:val="99"/>
    <w:semiHidden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E65C2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uiPriority w:val="99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lnekoddl1">
    <w:name w:val="Článek/oddíl1"/>
    <w:rsid w:val="005A0AAA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5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974B19"/>
    <w:pPr>
      <w:overflowPunct w:val="0"/>
      <w:autoSpaceDE w:val="0"/>
      <w:autoSpaceDN w:val="0"/>
      <w:adjustRightInd w:val="0"/>
      <w:jc w:val="right"/>
      <w:textAlignment w:val="baseline"/>
    </w:pPr>
    <w:rPr>
      <w:rFonts w:eastAsia="Calibri" w:cs="Arial"/>
      <w:sz w:val="20"/>
    </w:rPr>
  </w:style>
  <w:style w:type="character" w:customStyle="1" w:styleId="ZhlavChar">
    <w:name w:val="Záhlaví Char"/>
    <w:link w:val="Zhlav"/>
    <w:rsid w:val="00974B19"/>
    <w:rPr>
      <w:rFonts w:cs="Arial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3"/>
      </w:numPr>
      <w:spacing w:after="6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8843EE"/>
    <w:pPr>
      <w:tabs>
        <w:tab w:val="left" w:pos="851"/>
        <w:tab w:val="right" w:leader="dot" w:pos="9060"/>
      </w:tabs>
      <w:spacing w:before="240"/>
      <w:ind w:left="567"/>
    </w:pPr>
    <w:rPr>
      <w:rFonts w:cs="Calibri"/>
      <w:noProof/>
      <w:color w:val="FF0000"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pacing w:before="120"/>
      <w:ind w:left="240"/>
    </w:pPr>
    <w:rPr>
      <w:rFonts w:cs="Calibri"/>
      <w:i/>
      <w:iCs/>
      <w:sz w:val="20"/>
      <w:szCs w:val="20"/>
    </w:rPr>
  </w:style>
  <w:style w:type="paragraph" w:customStyle="1" w:styleId="lnek0">
    <w:name w:val="Článek"/>
    <w:next w:val="Normln"/>
    <w:link w:val="lnekChar0"/>
    <w:qFormat/>
    <w:rsid w:val="00C56A00"/>
    <w:pPr>
      <w:spacing w:before="600" w:after="240"/>
      <w:jc w:val="center"/>
    </w:pPr>
    <w:rPr>
      <w:rFonts w:eastAsia="Times New Roman"/>
      <w:b/>
      <w:bCs/>
      <w:sz w:val="24"/>
      <w:szCs w:val="24"/>
    </w:rPr>
  </w:style>
  <w:style w:type="character" w:customStyle="1" w:styleId="lnekChar0">
    <w:name w:val="Článek Char"/>
    <w:link w:val="lnek0"/>
    <w:rsid w:val="00C56A00"/>
    <w:rPr>
      <w:rFonts w:eastAsia="Times New Roman"/>
      <w:b/>
      <w:bC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rsid w:val="00885875"/>
    <w:rPr>
      <w:rFonts w:eastAsia="Times New Roman"/>
      <w:sz w:val="24"/>
      <w:szCs w:val="24"/>
    </w:rPr>
  </w:style>
  <w:style w:type="paragraph" w:customStyle="1" w:styleId="3rovevlnku-slostekou">
    <w:name w:val="3.úroveň v článku- číslo s tečkou"/>
    <w:basedOn w:val="2rovevlnku-psmena"/>
    <w:qFormat/>
    <w:rsid w:val="00932BE4"/>
  </w:style>
  <w:style w:type="table" w:customStyle="1" w:styleId="Mkatabulky2">
    <w:name w:val="Mřížka tabulky2"/>
    <w:basedOn w:val="Normlntabulka"/>
    <w:next w:val="Mkatabulky"/>
    <w:uiPriority w:val="39"/>
    <w:rsid w:val="00DB6BD5"/>
    <w:rPr>
      <w:rFonts w:ascii="IBM Plex Sans" w:hAnsi="IBM Plex Sans" w:cs="Noto Serif"/>
      <w:bCs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A4B4-46B1-4E4B-ABF6-ADD2D610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1406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Příbor</vt:lpstr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Příbor</dc:title>
  <dc:subject>Směrnice MÚP</dc:subject>
  <dc:creator>Ing. Ivo Kunčar</dc:creator>
  <cp:keywords/>
  <dc:description/>
  <cp:lastModifiedBy>Blanka Kovaláková</cp:lastModifiedBy>
  <cp:revision>13</cp:revision>
  <cp:lastPrinted>2025-01-29T15:55:00Z</cp:lastPrinted>
  <dcterms:created xsi:type="dcterms:W3CDTF">2025-01-30T08:24:00Z</dcterms:created>
  <dcterms:modified xsi:type="dcterms:W3CDTF">2025-02-03T12:02:00Z</dcterms:modified>
</cp:coreProperties>
</file>